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D13" w:rsidRDefault="005E1D13" w:rsidP="005E1D13">
      <w:pPr>
        <w:jc w:val="center"/>
        <w:rPr>
          <w:b/>
          <w:sz w:val="32"/>
          <w:szCs w:val="32"/>
          <w:lang w:val="uk-UA"/>
        </w:rPr>
      </w:pPr>
      <w:r>
        <w:rPr>
          <w:noProof/>
          <w:color w:val="474747"/>
          <w:sz w:val="16"/>
          <w:szCs w:val="16"/>
          <w:lang w:val="uk-UA" w:eastAsia="uk-UA"/>
        </w:rPr>
        <w:drawing>
          <wp:anchor distT="114300" distB="114300" distL="114300" distR="114300" simplePos="0" relativeHeight="251659264" behindDoc="0" locked="0" layoutInCell="1" hidden="0" allowOverlap="1" wp14:anchorId="1AE10778" wp14:editId="45E84DC7">
            <wp:simplePos x="0" y="0"/>
            <wp:positionH relativeFrom="page">
              <wp:posOffset>17780</wp:posOffset>
            </wp:positionH>
            <wp:positionV relativeFrom="page">
              <wp:posOffset>22225</wp:posOffset>
            </wp:positionV>
            <wp:extent cx="7548563" cy="1381065"/>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7548563" cy="1381065"/>
                    </a:xfrm>
                    <a:prstGeom prst="rect">
                      <a:avLst/>
                    </a:prstGeom>
                    <a:ln/>
                  </pic:spPr>
                </pic:pic>
              </a:graphicData>
            </a:graphic>
          </wp:anchor>
        </w:drawing>
      </w:r>
    </w:p>
    <w:p w:rsidR="005E1D13" w:rsidRDefault="005E1D13" w:rsidP="005E1D13">
      <w:pPr>
        <w:jc w:val="center"/>
        <w:rPr>
          <w:b/>
          <w:sz w:val="32"/>
          <w:szCs w:val="32"/>
          <w:lang w:val="uk-UA"/>
        </w:rPr>
      </w:pPr>
    </w:p>
    <w:p w:rsidR="005E1D13" w:rsidRPr="00BE36B5" w:rsidRDefault="005E1D13" w:rsidP="005E1D13">
      <w:pPr>
        <w:pStyle w:val="a4"/>
        <w:spacing w:after="0"/>
        <w:ind w:firstLine="0"/>
        <w:jc w:val="center"/>
        <w:rPr>
          <w:b/>
          <w:sz w:val="32"/>
          <w:szCs w:val="32"/>
          <w:lang w:val="uk-UA"/>
        </w:rPr>
      </w:pPr>
      <w:r>
        <w:rPr>
          <w:rFonts w:cs="Times New Roman"/>
          <w:b/>
          <w:sz w:val="32"/>
          <w:szCs w:val="32"/>
          <w:lang w:val="uk-UA"/>
        </w:rPr>
        <w:t>М</w:t>
      </w:r>
      <w:r w:rsidRPr="006E0D20">
        <w:rPr>
          <w:rFonts w:cs="Times New Roman"/>
          <w:b/>
          <w:sz w:val="32"/>
          <w:szCs w:val="32"/>
          <w:lang w:val="uk-UA"/>
        </w:rPr>
        <w:t xml:space="preserve">ісцеве самоврядування </w:t>
      </w:r>
      <w:r w:rsidRPr="00BE36B5">
        <w:rPr>
          <w:b/>
          <w:sz w:val="32"/>
          <w:szCs w:val="32"/>
          <w:lang w:val="uk-UA"/>
        </w:rPr>
        <w:t>:</w:t>
      </w:r>
    </w:p>
    <w:p w:rsidR="005E1D13" w:rsidRPr="00BE36B5" w:rsidRDefault="005E1D13" w:rsidP="005E1D13">
      <w:pPr>
        <w:spacing w:before="240" w:after="120" w:line="240" w:lineRule="auto"/>
        <w:jc w:val="center"/>
        <w:rPr>
          <w:rFonts w:ascii="Times New Roman" w:hAnsi="Times New Roman"/>
          <w:b/>
          <w:i/>
          <w:sz w:val="28"/>
          <w:szCs w:val="28"/>
          <w:lang w:val="uk-UA"/>
        </w:rPr>
      </w:pPr>
      <w:r w:rsidRPr="00BE36B5">
        <w:rPr>
          <w:rFonts w:ascii="Times New Roman" w:hAnsi="Times New Roman"/>
          <w:b/>
          <w:i/>
          <w:sz w:val="28"/>
          <w:szCs w:val="28"/>
        </w:rPr>
        <w:t>анотований бібліографічний список</w:t>
      </w:r>
      <w:r>
        <w:rPr>
          <w:rFonts w:ascii="Times New Roman" w:hAnsi="Times New Roman"/>
          <w:b/>
          <w:i/>
          <w:sz w:val="28"/>
          <w:szCs w:val="28"/>
          <w:lang w:val="uk-UA"/>
        </w:rPr>
        <w:t xml:space="preserve"> </w:t>
      </w:r>
    </w:p>
    <w:p w:rsidR="005E1D13" w:rsidRDefault="005E1D13" w:rsidP="005E1D13">
      <w:pPr>
        <w:spacing w:after="0" w:line="240" w:lineRule="auto"/>
        <w:jc w:val="center"/>
        <w:rPr>
          <w:rFonts w:ascii="Times New Roman" w:hAnsi="Times New Roman"/>
          <w:b/>
          <w:i/>
          <w:sz w:val="28"/>
          <w:szCs w:val="28"/>
        </w:rPr>
      </w:pPr>
      <w:r w:rsidRPr="00BE36B5">
        <w:rPr>
          <w:rFonts w:ascii="Arial" w:hAnsi="Arial" w:cs="Arial"/>
          <w:noProof/>
          <w:color w:val="274E13"/>
          <w:sz w:val="20"/>
          <w:szCs w:val="20"/>
          <w:lang w:val="uk-UA" w:eastAsia="uk-UA"/>
        </w:rPr>
        <w:drawing>
          <wp:anchor distT="114300" distB="114300" distL="114300" distR="114300" simplePos="0" relativeHeight="251660288" behindDoc="1" locked="0" layoutInCell="1" allowOverlap="1" wp14:anchorId="7BFC9432" wp14:editId="23CE3841">
            <wp:simplePos x="0" y="0"/>
            <wp:positionH relativeFrom="page">
              <wp:align>left</wp:align>
            </wp:positionH>
            <wp:positionV relativeFrom="margin">
              <wp:posOffset>1824990</wp:posOffset>
            </wp:positionV>
            <wp:extent cx="701040" cy="600075"/>
            <wp:effectExtent l="0" t="0" r="3810"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1040" cy="600075"/>
                    </a:xfrm>
                    <a:prstGeom prst="rect">
                      <a:avLst/>
                    </a:prstGeom>
                    <a:noFill/>
                  </pic:spPr>
                </pic:pic>
              </a:graphicData>
            </a:graphic>
            <wp14:sizeRelH relativeFrom="page">
              <wp14:pctWidth>0</wp14:pctWidth>
            </wp14:sizeRelH>
            <wp14:sizeRelV relativeFrom="page">
              <wp14:pctHeight>0</wp14:pctHeight>
            </wp14:sizeRelV>
          </wp:anchor>
        </w:drawing>
      </w:r>
    </w:p>
    <w:p w:rsidR="002045ED" w:rsidRDefault="002045ED" w:rsidP="002045ED">
      <w:pPr>
        <w:spacing w:after="120" w:line="240" w:lineRule="auto"/>
        <w:ind w:right="-324"/>
        <w:rPr>
          <w:rFonts w:ascii="Arial" w:hAnsi="Arial" w:cs="Arial"/>
          <w:color w:val="274E13"/>
          <w:sz w:val="20"/>
          <w:szCs w:val="20"/>
          <w:lang w:val="uk-UA"/>
        </w:rPr>
      </w:pPr>
      <w:r w:rsidRPr="005E7A85">
        <w:rPr>
          <w:rFonts w:ascii="Arial" w:hAnsi="Arial" w:cs="Arial"/>
          <w:color w:val="274E13"/>
          <w:sz w:val="20"/>
          <w:szCs w:val="20"/>
        </w:rPr>
        <w:t>Вип.</w:t>
      </w:r>
      <w:r>
        <w:rPr>
          <w:rFonts w:ascii="Arial" w:hAnsi="Arial" w:cs="Arial"/>
          <w:color w:val="274E13"/>
          <w:sz w:val="20"/>
          <w:szCs w:val="20"/>
          <w:lang w:val="uk-UA"/>
        </w:rPr>
        <w:t xml:space="preserve"> </w:t>
      </w:r>
      <w:r w:rsidR="000C71BD">
        <w:rPr>
          <w:rFonts w:ascii="Arial" w:hAnsi="Arial" w:cs="Arial"/>
          <w:color w:val="274E13"/>
          <w:sz w:val="20"/>
          <w:szCs w:val="20"/>
          <w:lang w:val="uk-UA"/>
        </w:rPr>
        <w:t>7</w:t>
      </w:r>
      <w:r>
        <w:rPr>
          <w:rFonts w:ascii="Arial" w:hAnsi="Arial" w:cs="Arial"/>
          <w:color w:val="274E13"/>
          <w:sz w:val="20"/>
          <w:szCs w:val="20"/>
        </w:rPr>
        <w:t xml:space="preserve"> </w:t>
      </w:r>
      <w:r w:rsidRPr="005E7A85">
        <w:rPr>
          <w:rFonts w:ascii="Arial" w:hAnsi="Arial" w:cs="Arial"/>
          <w:color w:val="274E13"/>
          <w:sz w:val="20"/>
          <w:szCs w:val="20"/>
        </w:rPr>
        <w:t>/</w:t>
      </w:r>
      <w:r>
        <w:rPr>
          <w:rFonts w:ascii="Arial" w:hAnsi="Arial" w:cs="Arial"/>
          <w:color w:val="274E13"/>
          <w:sz w:val="20"/>
          <w:szCs w:val="20"/>
        </w:rPr>
        <w:t xml:space="preserve"> </w:t>
      </w:r>
      <w:r w:rsidRPr="005E7A85">
        <w:rPr>
          <w:rFonts w:ascii="Arial" w:hAnsi="Arial" w:cs="Arial"/>
          <w:color w:val="274E13"/>
          <w:sz w:val="20"/>
          <w:szCs w:val="20"/>
        </w:rPr>
        <w:t>2026</w:t>
      </w:r>
    </w:p>
    <w:p w:rsidR="002045ED" w:rsidRPr="009043C6" w:rsidRDefault="000C71BD" w:rsidP="002045ED">
      <w:pPr>
        <w:spacing w:after="120" w:line="240" w:lineRule="auto"/>
        <w:ind w:right="-324"/>
        <w:rPr>
          <w:rFonts w:ascii="Arial" w:hAnsi="Arial" w:cs="Arial"/>
          <w:color w:val="274E13"/>
          <w:sz w:val="20"/>
          <w:szCs w:val="20"/>
          <w:lang w:val="uk-UA"/>
        </w:rPr>
      </w:pPr>
      <w:r>
        <w:rPr>
          <w:rFonts w:ascii="Arial" w:hAnsi="Arial" w:cs="Arial"/>
          <w:color w:val="274E13"/>
          <w:sz w:val="20"/>
          <w:szCs w:val="20"/>
          <w:lang w:val="uk-UA"/>
        </w:rPr>
        <w:t>серпень</w:t>
      </w:r>
    </w:p>
    <w:p w:rsidR="002045ED" w:rsidRPr="00DC4F8B" w:rsidRDefault="002045ED" w:rsidP="002045ED">
      <w:pPr>
        <w:rPr>
          <w:rStyle w:val="a3"/>
          <w:rFonts w:ascii="Arial" w:eastAsiaTheme="majorEastAsia" w:hAnsi="Arial" w:cs="Arial"/>
          <w:color w:val="274E13"/>
          <w:sz w:val="20"/>
          <w:szCs w:val="20"/>
          <w:lang w:val="uk-UA"/>
        </w:rPr>
      </w:pPr>
      <w:r w:rsidRPr="00496A28">
        <w:rPr>
          <w:rFonts w:ascii="Arial" w:hAnsi="Arial" w:cs="Arial"/>
          <w:b/>
          <w:color w:val="274E13"/>
          <w:sz w:val="20"/>
          <w:szCs w:val="20"/>
          <w:lang w:val="en-US"/>
        </w:rPr>
        <w:t>URL</w:t>
      </w:r>
      <w:r w:rsidRPr="003A3915">
        <w:rPr>
          <w:rFonts w:ascii="Arial" w:hAnsi="Arial" w:cs="Arial"/>
          <w:color w:val="274E13"/>
          <w:sz w:val="20"/>
          <w:szCs w:val="20"/>
        </w:rPr>
        <w:t>:</w:t>
      </w:r>
      <w:r>
        <w:rPr>
          <w:rFonts w:ascii="Arial" w:hAnsi="Arial" w:cs="Arial"/>
          <w:color w:val="274E13"/>
          <w:sz w:val="20"/>
          <w:szCs w:val="20"/>
        </w:rPr>
        <w:t xml:space="preserve"> </w:t>
      </w:r>
      <w:hyperlink r:id="rId7" w:history="1">
        <w:r w:rsidRPr="00021BAE">
          <w:rPr>
            <w:rStyle w:val="a3"/>
            <w:rFonts w:ascii="Arial" w:eastAsiaTheme="majorEastAsia" w:hAnsi="Arial" w:cs="Arial"/>
            <w:color w:val="274E13"/>
            <w:sz w:val="20"/>
            <w:szCs w:val="20"/>
            <w:lang w:val="en-US"/>
          </w:rPr>
          <w:t>http</w:t>
        </w:r>
        <w:r w:rsidRPr="003A3915">
          <w:rPr>
            <w:rStyle w:val="a3"/>
            <w:rFonts w:ascii="Arial" w:eastAsiaTheme="majorEastAsia" w:hAnsi="Arial" w:cs="Arial"/>
            <w:color w:val="274E13"/>
            <w:sz w:val="20"/>
            <w:szCs w:val="20"/>
          </w:rPr>
          <w:t>://</w:t>
        </w:r>
        <w:r w:rsidRPr="00021BAE">
          <w:rPr>
            <w:rStyle w:val="a3"/>
            <w:rFonts w:ascii="Arial" w:eastAsiaTheme="majorEastAsia" w:hAnsi="Arial" w:cs="Arial"/>
            <w:color w:val="274E13"/>
            <w:sz w:val="20"/>
            <w:szCs w:val="20"/>
            <w:lang w:val="en-US"/>
          </w:rPr>
          <w:t>nplu</w:t>
        </w:r>
        <w:r w:rsidRPr="003A3915">
          <w:rPr>
            <w:rStyle w:val="a3"/>
            <w:rFonts w:ascii="Arial" w:eastAsiaTheme="majorEastAsia" w:hAnsi="Arial" w:cs="Arial"/>
            <w:color w:val="274E13"/>
            <w:sz w:val="20"/>
            <w:szCs w:val="20"/>
          </w:rPr>
          <w:t>.</w:t>
        </w:r>
        <w:r w:rsidRPr="00021BAE">
          <w:rPr>
            <w:rStyle w:val="a3"/>
            <w:rFonts w:ascii="Arial" w:eastAsiaTheme="majorEastAsia" w:hAnsi="Arial" w:cs="Arial"/>
            <w:color w:val="274E13"/>
            <w:sz w:val="20"/>
            <w:szCs w:val="20"/>
            <w:lang w:val="en-US"/>
          </w:rPr>
          <w:t>org</w:t>
        </w:r>
        <w:r w:rsidRPr="003A3915">
          <w:rPr>
            <w:rStyle w:val="a3"/>
            <w:rFonts w:ascii="Arial" w:eastAsiaTheme="majorEastAsia" w:hAnsi="Arial" w:cs="Arial"/>
            <w:color w:val="274E13"/>
            <w:sz w:val="20"/>
            <w:szCs w:val="20"/>
          </w:rPr>
          <w:t>/</w:t>
        </w:r>
        <w:r w:rsidRPr="00021BAE">
          <w:rPr>
            <w:rStyle w:val="a3"/>
            <w:rFonts w:ascii="Arial" w:eastAsiaTheme="majorEastAsia" w:hAnsi="Arial" w:cs="Arial"/>
            <w:color w:val="274E13"/>
            <w:sz w:val="20"/>
            <w:szCs w:val="20"/>
            <w:lang w:val="en-US"/>
          </w:rPr>
          <w:t>article</w:t>
        </w:r>
        <w:r w:rsidRPr="003A3915">
          <w:rPr>
            <w:rStyle w:val="a3"/>
            <w:rFonts w:ascii="Arial" w:eastAsiaTheme="majorEastAsia" w:hAnsi="Arial" w:cs="Arial"/>
            <w:color w:val="274E13"/>
            <w:sz w:val="20"/>
            <w:szCs w:val="20"/>
          </w:rPr>
          <w:t>.</w:t>
        </w:r>
        <w:r w:rsidRPr="00021BAE">
          <w:rPr>
            <w:rStyle w:val="a3"/>
            <w:rFonts w:ascii="Arial" w:eastAsiaTheme="majorEastAsia" w:hAnsi="Arial" w:cs="Arial"/>
            <w:color w:val="274E13"/>
            <w:sz w:val="20"/>
            <w:szCs w:val="20"/>
            <w:lang w:val="en-US"/>
          </w:rPr>
          <w:t>php</w:t>
        </w:r>
        <w:r w:rsidRPr="003A3915">
          <w:rPr>
            <w:rStyle w:val="a3"/>
            <w:rFonts w:ascii="Arial" w:eastAsiaTheme="majorEastAsia" w:hAnsi="Arial" w:cs="Arial"/>
            <w:color w:val="274E13"/>
            <w:sz w:val="20"/>
            <w:szCs w:val="20"/>
          </w:rPr>
          <w:t>?</w:t>
        </w:r>
        <w:r w:rsidRPr="00021BAE">
          <w:rPr>
            <w:rStyle w:val="a3"/>
            <w:rFonts w:ascii="Arial" w:eastAsiaTheme="majorEastAsia" w:hAnsi="Arial" w:cs="Arial"/>
            <w:color w:val="274E13"/>
            <w:sz w:val="20"/>
            <w:szCs w:val="20"/>
            <w:lang w:val="en-US"/>
          </w:rPr>
          <w:t>id</w:t>
        </w:r>
        <w:r w:rsidRPr="003A3915">
          <w:rPr>
            <w:rStyle w:val="a3"/>
            <w:rFonts w:ascii="Arial" w:eastAsiaTheme="majorEastAsia" w:hAnsi="Arial" w:cs="Arial"/>
            <w:color w:val="274E13"/>
            <w:sz w:val="20"/>
            <w:szCs w:val="20"/>
          </w:rPr>
          <w:t>=423&amp;</w:t>
        </w:r>
        <w:r w:rsidRPr="00021BAE">
          <w:rPr>
            <w:rStyle w:val="a3"/>
            <w:rFonts w:ascii="Arial" w:eastAsiaTheme="majorEastAsia" w:hAnsi="Arial" w:cs="Arial"/>
            <w:color w:val="274E13"/>
            <w:sz w:val="20"/>
            <w:szCs w:val="20"/>
            <w:lang w:val="en-US"/>
          </w:rPr>
          <w:t>subject</w:t>
        </w:r>
        <w:r w:rsidRPr="003A3915">
          <w:rPr>
            <w:rStyle w:val="a3"/>
            <w:rFonts w:ascii="Arial" w:eastAsiaTheme="majorEastAsia" w:hAnsi="Arial" w:cs="Arial"/>
            <w:color w:val="274E13"/>
            <w:sz w:val="20"/>
            <w:szCs w:val="20"/>
          </w:rPr>
          <w:t>=3</w:t>
        </w:r>
      </w:hyperlink>
    </w:p>
    <w:p w:rsidR="005B23BA" w:rsidRDefault="006835F4"/>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rPr>
      </w:pPr>
      <w:r w:rsidRPr="00B92736">
        <w:rPr>
          <w:rFonts w:ascii="Times New Roman" w:hAnsi="Times New Roman"/>
          <w:b/>
          <w:bCs/>
          <w:sz w:val="28"/>
          <w:szCs w:val="28"/>
          <w:lang w:val="uk-UA"/>
        </w:rPr>
        <w:t xml:space="preserve">Алексєєва І. Не говориш українською — заплати штраф: у Раді готують жорсткі зміни </w:t>
      </w:r>
      <w:r w:rsidRPr="00B92736">
        <w:rPr>
          <w:rFonts w:ascii="Times New Roman" w:hAnsi="Times New Roman"/>
          <w:sz w:val="28"/>
          <w:szCs w:val="28"/>
          <w:lang w:val="uk-UA"/>
        </w:rPr>
        <w:t xml:space="preserve">[Електронний ресурс] / Ірина Алексєєва // </w:t>
      </w:r>
      <w:r w:rsidRPr="00B92736">
        <w:rPr>
          <w:rFonts w:ascii="Times New Roman" w:hAnsi="Times New Roman"/>
          <w:sz w:val="28"/>
          <w:szCs w:val="28"/>
        </w:rPr>
        <w:t>Fakty</w:t>
      </w:r>
      <w:r w:rsidRPr="00B92736">
        <w:rPr>
          <w:rFonts w:ascii="Times New Roman" w:hAnsi="Times New Roman"/>
          <w:sz w:val="28"/>
          <w:szCs w:val="28"/>
          <w:lang w:val="uk-UA"/>
        </w:rPr>
        <w:t>.</w:t>
      </w:r>
      <w:r w:rsidRPr="00B92736">
        <w:rPr>
          <w:rFonts w:ascii="Times New Roman" w:hAnsi="Times New Roman"/>
          <w:sz w:val="28"/>
          <w:szCs w:val="28"/>
        </w:rPr>
        <w:t>ua</w:t>
      </w:r>
      <w:r w:rsidRPr="00B92736">
        <w:rPr>
          <w:rFonts w:ascii="Times New Roman" w:hAnsi="Times New Roman"/>
          <w:sz w:val="28"/>
          <w:szCs w:val="28"/>
          <w:lang w:val="uk-UA"/>
        </w:rPr>
        <w:t xml:space="preserve"> : [вебсайт]. – 2026. – 6 серп. — Електрон. дані. </w:t>
      </w:r>
      <w:r w:rsidRPr="00B92736">
        <w:rPr>
          <w:rFonts w:ascii="Times New Roman" w:hAnsi="Times New Roman"/>
          <w:i/>
          <w:iCs/>
          <w:sz w:val="28"/>
          <w:szCs w:val="28"/>
          <w:lang w:val="uk-UA"/>
        </w:rPr>
        <w:t xml:space="preserve">Зазначено, що у Верховній Раді України (ВР України) підготували законопроєкт № 15412, який розширює перелік службовців і працівників, які будуть зобов’язані під час роботи послуговуватися лише українською мовою. </w:t>
      </w:r>
      <w:r w:rsidRPr="00B92736">
        <w:rPr>
          <w:rFonts w:ascii="Times New Roman" w:hAnsi="Times New Roman"/>
          <w:i/>
          <w:iCs/>
          <w:sz w:val="28"/>
          <w:szCs w:val="28"/>
        </w:rPr>
        <w:t xml:space="preserve">У документі йдеться про оновлення норм </w:t>
      </w:r>
      <w:proofErr w:type="gramStart"/>
      <w:r w:rsidRPr="00B92736">
        <w:rPr>
          <w:rFonts w:ascii="Times New Roman" w:hAnsi="Times New Roman"/>
          <w:i/>
          <w:iCs/>
          <w:sz w:val="28"/>
          <w:szCs w:val="28"/>
        </w:rPr>
        <w:t>у сферах</w:t>
      </w:r>
      <w:proofErr w:type="gramEnd"/>
      <w:r w:rsidRPr="00B92736">
        <w:rPr>
          <w:rFonts w:ascii="Times New Roman" w:hAnsi="Times New Roman"/>
          <w:i/>
          <w:iCs/>
          <w:sz w:val="28"/>
          <w:szCs w:val="28"/>
        </w:rPr>
        <w:t xml:space="preserve"> освіти, культури, місцевого самоврядування та виборчого законодавства. Запропоновано вдосконалити механізми державного контролю за їхнім дотриманням. Зокрема, вимогу щодо обов’язкового володіння та використання державної мови пропонують поширити на народних депутатів України, керівників державних наукових установ і закладів культури, приватних виконавців, арбітражних керуючих та аудиторів, членів виборчих комісій, працівників закладів освіти та оздоровлення дітей. Ініціатива покладає на місцеві ради обов’язок створювати умови для розвитку й популяризації української мови в межах своїх громад</w:t>
      </w:r>
      <w:r w:rsidRPr="00B92736">
        <w:rPr>
          <w:rFonts w:ascii="Times New Roman" w:hAnsi="Times New Roman"/>
          <w:sz w:val="28"/>
          <w:szCs w:val="28"/>
        </w:rPr>
        <w:t xml:space="preserve">. </w:t>
      </w:r>
      <w:r w:rsidRPr="00B92736">
        <w:rPr>
          <w:rFonts w:ascii="Times New Roman" w:hAnsi="Times New Roman"/>
          <w:i/>
          <w:iCs/>
          <w:sz w:val="28"/>
          <w:szCs w:val="28"/>
        </w:rPr>
        <w:t>Нові правила передбачають підвищення штрафів за порушення мовного законодавства. У Комітеті ВР України з питань гуманітарної та інформаційної політики додали, що нові норми повністю відповідають європейським стандартам і не звужують прав національних меншин.</w:t>
      </w:r>
      <w:r w:rsidRPr="00B92736">
        <w:rPr>
          <w:rFonts w:ascii="Times New Roman" w:hAnsi="Times New Roman"/>
          <w:sz w:val="28"/>
          <w:szCs w:val="28"/>
        </w:rPr>
        <w:t xml:space="preserve"> Текст: </w:t>
      </w:r>
      <w:hyperlink r:id="rId8" w:tgtFrame="_blank" w:history="1">
        <w:r w:rsidRPr="00B92736">
          <w:rPr>
            <w:rStyle w:val="a3"/>
            <w:rFonts w:ascii="Times New Roman" w:hAnsi="Times New Roman"/>
            <w:sz w:val="28"/>
            <w:szCs w:val="28"/>
          </w:rPr>
          <w:t>https://fakty.ua/476495-ne-govorish-po-ukrainski---zaplati-shtraf-v-rade-gotovyat-zhestkie-izmeneniya</w:t>
        </w:r>
      </w:hyperlink>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rPr>
      </w:pPr>
      <w:r w:rsidRPr="00B92736">
        <w:rPr>
          <w:rFonts w:ascii="Times New Roman" w:hAnsi="Times New Roman"/>
          <w:b/>
          <w:bCs/>
          <w:sz w:val="28"/>
          <w:szCs w:val="28"/>
          <w:lang w:val="uk-UA"/>
        </w:rPr>
        <w:t>Атаманчук Ю. І. Інститут префекта в системі територіальної організації публічної влади: французький досвід та українські перспективи</w:t>
      </w:r>
      <w:r w:rsidRPr="00B92736">
        <w:rPr>
          <w:rFonts w:ascii="Times New Roman" w:hAnsi="Times New Roman"/>
          <w:sz w:val="28"/>
          <w:szCs w:val="28"/>
          <w:lang w:val="uk-UA"/>
        </w:rPr>
        <w:t xml:space="preserve"> [Електронний ресурс] / Ю. І. Атаманчук, Я. І. Швець  // Наук. вісн. Ужгород. нац. ун-ту. Серія : Право : зб. наук. пр.  – Ужгород, 2026. – №</w:t>
      </w:r>
      <w:r w:rsidRPr="00B92736">
        <w:rPr>
          <w:rFonts w:ascii="Times New Roman" w:hAnsi="Times New Roman"/>
          <w:sz w:val="28"/>
          <w:szCs w:val="28"/>
        </w:rPr>
        <w:t xml:space="preserve"> </w:t>
      </w:r>
      <w:r w:rsidRPr="00B92736">
        <w:rPr>
          <w:rFonts w:ascii="Times New Roman" w:hAnsi="Times New Roman"/>
          <w:sz w:val="28"/>
          <w:szCs w:val="28"/>
          <w:lang w:val="uk-UA"/>
        </w:rPr>
        <w:t>94, т. 1. – С.</w:t>
      </w:r>
      <w:r w:rsidRPr="00B92736">
        <w:rPr>
          <w:rFonts w:ascii="Times New Roman" w:hAnsi="Times New Roman"/>
          <w:sz w:val="28"/>
          <w:szCs w:val="28"/>
        </w:rPr>
        <w:t xml:space="preserve"> </w:t>
      </w:r>
      <w:r w:rsidRPr="00B92736">
        <w:rPr>
          <w:rFonts w:ascii="Times New Roman" w:hAnsi="Times New Roman"/>
          <w:sz w:val="28"/>
          <w:szCs w:val="28"/>
          <w:lang w:val="uk-UA"/>
        </w:rPr>
        <w:t>113-122.</w:t>
      </w:r>
      <w:r w:rsidRPr="00B92736">
        <w:rPr>
          <w:rFonts w:ascii="Times New Roman" w:hAnsi="Times New Roman"/>
          <w:sz w:val="28"/>
          <w:szCs w:val="28"/>
        </w:rPr>
        <w:t xml:space="preserve"> </w:t>
      </w:r>
      <w:r w:rsidRPr="00B92736">
        <w:rPr>
          <w:rFonts w:ascii="Times New Roman" w:hAnsi="Times New Roman"/>
          <w:i/>
          <w:iCs/>
          <w:sz w:val="28"/>
          <w:szCs w:val="28"/>
          <w:lang w:val="uk-UA"/>
        </w:rPr>
        <w:t>Проаналізовано правовий статус, порядок призначення та основні функції префекта як представника держави на місцях, відповідального за реалізацію державної політики, координацію діяльності територіальних органів виконавчої влади, нагляд за законністю актів органів місцевого самоврядування та забезпечення публічної безпеки. Виявлено проблеми сучасної системи територіальної організації влади в Україні, зокрема нечітке розмежування повноважень між органами державної влади та місцевого самоврядування, а також недосконалість механізмів державного нагляду. На основі порівняльно-правового аналізу обґрунтовано доцільність адаптації французької моделі префектури до українських умов шляхом створення префектур як координаційних і контрольно-наглядових органів із чітким розмежуванням їхніх функцій та повноважень.</w:t>
      </w:r>
      <w:r w:rsidRPr="00B92736">
        <w:rPr>
          <w:rFonts w:ascii="Times New Roman" w:hAnsi="Times New Roman"/>
          <w:sz w:val="28"/>
          <w:szCs w:val="28"/>
          <w:lang w:val="uk-UA"/>
        </w:rPr>
        <w:t xml:space="preserve"> Текст: </w:t>
      </w:r>
      <w:hyperlink r:id="rId9" w:history="1">
        <w:r w:rsidRPr="00B92736">
          <w:rPr>
            <w:rStyle w:val="a3"/>
            <w:rFonts w:ascii="Times New Roman" w:hAnsi="Times New Roman"/>
            <w:sz w:val="28"/>
            <w:szCs w:val="28"/>
            <w:lang w:val="uk-UA"/>
          </w:rPr>
          <w:t>https://visnyk-juris-uzhnu.com/wp-content/uploads/2026/05/17.pdf</w:t>
        </w:r>
      </w:hyperlink>
      <w:r w:rsidRPr="00B92736">
        <w:rPr>
          <w:rFonts w:ascii="Times New Roman" w:hAnsi="Times New Roman"/>
          <w:sz w:val="28"/>
          <w:szCs w:val="28"/>
          <w:lang w:val="uk-UA"/>
        </w:rPr>
        <w:t xml:space="preserve"> </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lang w:val="uk-UA"/>
        </w:rPr>
        <w:t>Бабенко А. Ю. Порівняльна характеристика нормативно-правового забезпечення фінансового контролю за місцевими фінансами</w:t>
      </w:r>
      <w:r w:rsidRPr="00B92736">
        <w:rPr>
          <w:rFonts w:ascii="Times New Roman" w:hAnsi="Times New Roman"/>
          <w:sz w:val="28"/>
          <w:szCs w:val="28"/>
          <w:lang w:val="uk-UA"/>
        </w:rPr>
        <w:t xml:space="preserve"> [Електронний ресурс] / А. Ю. Бабенко, О. А. Єфіменко // Наук. вісн. Ужгород. нац. ун-ту. Серія : Право : зб. наук. пр.  – Ужгород, 2026. – №</w:t>
      </w:r>
      <w:r w:rsidRPr="00B92736">
        <w:rPr>
          <w:rFonts w:ascii="Times New Roman" w:hAnsi="Times New Roman"/>
          <w:sz w:val="28"/>
          <w:szCs w:val="28"/>
        </w:rPr>
        <w:t xml:space="preserve"> </w:t>
      </w:r>
      <w:r w:rsidRPr="00B92736">
        <w:rPr>
          <w:rFonts w:ascii="Times New Roman" w:hAnsi="Times New Roman"/>
          <w:sz w:val="28"/>
          <w:szCs w:val="28"/>
          <w:lang w:val="uk-UA"/>
        </w:rPr>
        <w:t>94, т. 2. – С.</w:t>
      </w:r>
      <w:r w:rsidRPr="00B92736">
        <w:rPr>
          <w:rFonts w:ascii="Times New Roman" w:hAnsi="Times New Roman"/>
          <w:sz w:val="28"/>
          <w:szCs w:val="28"/>
        </w:rPr>
        <w:t xml:space="preserve"> </w:t>
      </w:r>
      <w:r w:rsidRPr="00B92736">
        <w:rPr>
          <w:rFonts w:ascii="Times New Roman" w:hAnsi="Times New Roman"/>
          <w:sz w:val="28"/>
          <w:szCs w:val="28"/>
          <w:lang w:val="uk-UA"/>
        </w:rPr>
        <w:t xml:space="preserve">259-267. </w:t>
      </w:r>
      <w:r w:rsidRPr="00B92736">
        <w:rPr>
          <w:rFonts w:ascii="Times New Roman" w:hAnsi="Times New Roman"/>
          <w:i/>
          <w:iCs/>
          <w:sz w:val="28"/>
          <w:szCs w:val="28"/>
          <w:lang w:val="uk-UA"/>
        </w:rPr>
        <w:t>Досліджено нормативно-правове забезпечення фінансового контролю за місцевими фінансами як складову сучасної системи публічного управління та механізм забезпечення законності, прозорості й підзвітності у сфері використання бюджетних ресурсів. Розкрито сутність фінансового контролю як комплексної діяльності, що охоплює правові, організаційні, процедурні та аналітичні заходи, спрямовані на запобігання фінансовим правопорушенням, мінімізацію бюджетних ризиків і підвищення ефективності використання коштів місцевих бюджетів. Проаналізовано європейські моделі фінансового контролю за місцевими фінансами, зокрема інституційно диференційовану систему Польщі, управлінсько-аудиторську модель Литви та централізовану аудиторську модель Румунії, які реалізують різні підходи до забезпечення фінансової дисципліни в умовах децентралізації. Зроблено висновок, що ефективний фінансовий контроль є необхідною передумовою сталого розвитку територіальних громад, забезпечення фінансової автономії місцевого самоврядування та зміцнення довіри суспільства до публічної влади.</w:t>
      </w:r>
      <w:r w:rsidRPr="00B92736">
        <w:rPr>
          <w:rFonts w:ascii="Times New Roman" w:hAnsi="Times New Roman"/>
          <w:sz w:val="28"/>
          <w:szCs w:val="28"/>
          <w:lang w:val="uk-UA"/>
        </w:rPr>
        <w:t xml:space="preserve"> Текст: </w:t>
      </w:r>
      <w:hyperlink r:id="rId10" w:history="1">
        <w:r w:rsidRPr="00B92736">
          <w:rPr>
            <w:rStyle w:val="a3"/>
            <w:rFonts w:ascii="Times New Roman" w:hAnsi="Times New Roman"/>
            <w:sz w:val="28"/>
            <w:szCs w:val="28"/>
            <w:lang w:val="uk-UA"/>
          </w:rPr>
          <w:t>https://visnyk-juris-uzhnu.com/wp-content/uploads/2026/05/38-1.pdf</w:t>
        </w:r>
      </w:hyperlink>
      <w:r w:rsidRPr="00B92736">
        <w:rPr>
          <w:rFonts w:ascii="Times New Roman" w:hAnsi="Times New Roman"/>
          <w:sz w:val="28"/>
          <w:szCs w:val="28"/>
          <w:lang w:val="uk-UA"/>
        </w:rPr>
        <w:t xml:space="preserve"> </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lang w:val="uk-UA"/>
        </w:rPr>
        <w:t>Баймуратов М. О. Муніципальний космополітизм: роль Юргена Габермаса у його обґрунтуванні та становленні</w:t>
      </w:r>
      <w:r w:rsidR="006835F4">
        <w:rPr>
          <w:rFonts w:ascii="Times New Roman" w:hAnsi="Times New Roman"/>
          <w:sz w:val="28"/>
          <w:szCs w:val="28"/>
          <w:lang w:val="uk-UA"/>
        </w:rPr>
        <w:t xml:space="preserve"> [Електронний ресурс] / М. О. </w:t>
      </w:r>
      <w:r w:rsidRPr="00B92736">
        <w:rPr>
          <w:rFonts w:ascii="Times New Roman" w:hAnsi="Times New Roman"/>
          <w:sz w:val="28"/>
          <w:szCs w:val="28"/>
          <w:lang w:val="uk-UA"/>
        </w:rPr>
        <w:t>Баймуратов, Б. Я. Кофман, Н. В. Єфремова // Наук. вісн. Ужгород. нац. ун-ту. Серія : Право : зб. наук. пр.  – Ужгород, 2026. – №</w:t>
      </w:r>
      <w:r w:rsidRPr="00B92736">
        <w:rPr>
          <w:rFonts w:ascii="Times New Roman" w:hAnsi="Times New Roman"/>
          <w:sz w:val="28"/>
          <w:szCs w:val="28"/>
        </w:rPr>
        <w:t xml:space="preserve"> </w:t>
      </w:r>
      <w:r w:rsidRPr="00B92736">
        <w:rPr>
          <w:rFonts w:ascii="Times New Roman" w:hAnsi="Times New Roman"/>
          <w:sz w:val="28"/>
          <w:szCs w:val="28"/>
          <w:lang w:val="uk-UA"/>
        </w:rPr>
        <w:t>94, т. 1. – С.</w:t>
      </w:r>
      <w:r w:rsidRPr="00B92736">
        <w:rPr>
          <w:rFonts w:ascii="Times New Roman" w:hAnsi="Times New Roman"/>
          <w:sz w:val="28"/>
          <w:szCs w:val="28"/>
        </w:rPr>
        <w:t xml:space="preserve"> </w:t>
      </w:r>
      <w:r w:rsidRPr="00B92736">
        <w:rPr>
          <w:rFonts w:ascii="Times New Roman" w:hAnsi="Times New Roman"/>
          <w:sz w:val="28"/>
          <w:szCs w:val="28"/>
          <w:lang w:val="uk-UA"/>
        </w:rPr>
        <w:t xml:space="preserve">123-134. </w:t>
      </w:r>
      <w:r w:rsidRPr="00B92736">
        <w:rPr>
          <w:rFonts w:ascii="Times New Roman" w:hAnsi="Times New Roman"/>
          <w:i/>
          <w:iCs/>
          <w:sz w:val="28"/>
          <w:szCs w:val="28"/>
          <w:lang w:val="uk-UA"/>
        </w:rPr>
        <w:t>Проаналізовано взаємозв’язок між функціонуванням територіальних громад, реалізацією прав і свобод людини на місцевому рівні та формуванням муніципально-правової проблематики в контексті європейського муніципалізму. Особливу увагу приділено доктринальним поглядам Юрґена Габермаса, який розглядає комунікативну взаємодію, дискурс і раціональність як основу суспільного розвитку та демократичного врядування. Обґрунтовано, що концепція муніципального космополітизму сприяє піднесенню місцевого самоврядування з національного на глобальний рівень, формуючи нові підходи до участі громадян, міжкультурного діалогу та розвитку демократичних інститутів.</w:t>
      </w:r>
      <w:r w:rsidRPr="00B92736">
        <w:rPr>
          <w:rFonts w:ascii="Times New Roman" w:hAnsi="Times New Roman"/>
          <w:sz w:val="28"/>
          <w:szCs w:val="28"/>
          <w:lang w:val="uk-UA"/>
        </w:rPr>
        <w:t xml:space="preserve"> Текст: </w:t>
      </w:r>
      <w:hyperlink r:id="rId11" w:history="1">
        <w:r w:rsidRPr="00B92736">
          <w:rPr>
            <w:rStyle w:val="a3"/>
            <w:rFonts w:ascii="Times New Roman" w:hAnsi="Times New Roman"/>
            <w:sz w:val="28"/>
            <w:szCs w:val="28"/>
            <w:lang w:val="uk-UA"/>
          </w:rPr>
          <w:t>https://visnyk-juris-uzhnu.com/wp-content/uploads/2026/05/18.pdf</w:t>
        </w:r>
      </w:hyperlink>
      <w:r w:rsidRPr="00B92736">
        <w:rPr>
          <w:rFonts w:ascii="Times New Roman" w:hAnsi="Times New Roman"/>
          <w:sz w:val="28"/>
          <w:szCs w:val="28"/>
          <w:lang w:val="uk-UA"/>
        </w:rPr>
        <w:t xml:space="preserve"> </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rPr>
      </w:pPr>
      <w:r w:rsidRPr="00B92736">
        <w:rPr>
          <w:rFonts w:ascii="Times New Roman" w:hAnsi="Times New Roman"/>
          <w:b/>
          <w:bCs/>
          <w:sz w:val="28"/>
          <w:szCs w:val="28"/>
        </w:rPr>
        <w:t>Бережна Д. Терехов пропонує підвищити мінімальну зарплату до 10 тис. грн, а пенсію — до 6 тис. грн</w:t>
      </w:r>
      <w:r w:rsidRPr="00B92736">
        <w:rPr>
          <w:rFonts w:ascii="Times New Roman" w:hAnsi="Times New Roman"/>
          <w:sz w:val="28"/>
          <w:szCs w:val="28"/>
        </w:rPr>
        <w:t xml:space="preserve"> [Електронний ресурс] / Дар'я Бережна // </w:t>
      </w:r>
      <w:proofErr w:type="gramStart"/>
      <w:r w:rsidRPr="00B92736">
        <w:rPr>
          <w:rFonts w:ascii="Times New Roman" w:hAnsi="Times New Roman"/>
          <w:sz w:val="28"/>
          <w:szCs w:val="28"/>
        </w:rPr>
        <w:t>Focus.ua :</w:t>
      </w:r>
      <w:proofErr w:type="gramEnd"/>
      <w:r w:rsidRPr="00B92736">
        <w:rPr>
          <w:rFonts w:ascii="Times New Roman" w:hAnsi="Times New Roman"/>
          <w:sz w:val="28"/>
          <w:szCs w:val="28"/>
        </w:rPr>
        <w:t xml:space="preserve"> [вебсайт]. – 2026. – 6 серп. — Електрон. дані. </w:t>
      </w:r>
      <w:r w:rsidRPr="00B92736">
        <w:rPr>
          <w:rFonts w:ascii="Times New Roman" w:hAnsi="Times New Roman"/>
          <w:i/>
          <w:iCs/>
          <w:sz w:val="28"/>
          <w:szCs w:val="28"/>
        </w:rPr>
        <w:t>Зазначено, що Асоціація прифронтових міст і громад (АПМГ) під керівництвом Ігоря Терехова підготувала та передала Кабінету Міністрів України (КМ України) пакет зі 130 законодавчих і бюджетних ініціатив. За його словами, головним пріоритетом державної політики під час війни має бути добробут людей. Одним із ключових блоків пропозицій є підвищення рівня життя українців. Запропоновано вже з 2027 р. встановити мінімальну заробітну плату на рівні не менше 10 000 грн, підвищити мінімальну пенсію до 6000 грн, переглянути соціальні стандарти відповідно до реальної вартості життя, а також запровадити знижену ставку податку на додану вартість (ПДВ) у розмірі 5 % на соціально значущі продукти харчування, лікарські засоби та інші товари першої необхідності. Окремий комплекс ініціатив стосується підтримки внутрішньо переміщених осіб (ВПО): законодавчо визначити їх маршрут від евакуації до повноцінної інтеграції в громаді, підвищити допомогу на проживання до 4500 грн, гарантувати її виплату протягом перших шести місяців після евакуації, розвивати соціальне житло, субсидовану оренду й доступну іпотеку, а також запровадити механізм компенсації за фактично недоступне житло. Важливий пакет пропозицій стосується ветеранської політики, а також освіти, медицини та соціальної сфери. Окремий блок присвячений людям, які забезпечують життєдіяльність прифронтових територій.</w:t>
      </w:r>
      <w:r w:rsidRPr="00B92736">
        <w:rPr>
          <w:rFonts w:ascii="Times New Roman" w:hAnsi="Times New Roman"/>
          <w:sz w:val="28"/>
          <w:szCs w:val="28"/>
        </w:rPr>
        <w:t xml:space="preserve"> Текст: </w:t>
      </w:r>
      <w:hyperlink r:id="rId12" w:tgtFrame="_blank" w:history="1">
        <w:r w:rsidRPr="00B92736">
          <w:rPr>
            <w:rStyle w:val="a3"/>
            <w:rFonts w:ascii="Times New Roman" w:hAnsi="Times New Roman"/>
            <w:sz w:val="28"/>
            <w:szCs w:val="28"/>
          </w:rPr>
          <w:t>https://focus.ua/uk/ukraine/763673-terehov-proponuye-pidvishchiti-minimalnu-zarplatu-do-10-tis-grn-a-pensiyu-do-6-tis-grn</w:t>
        </w:r>
      </w:hyperlink>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rPr>
        <w:t xml:space="preserve">Благодарний А. М. Організаційно-правові аспекти відновлення освітньої інфраструктури на деокупованих територіях </w:t>
      </w:r>
      <w:r w:rsidRPr="00B92736">
        <w:rPr>
          <w:rFonts w:ascii="Times New Roman" w:hAnsi="Times New Roman"/>
          <w:sz w:val="28"/>
          <w:szCs w:val="28"/>
          <w:lang w:val="uk-UA"/>
        </w:rPr>
        <w:t>[Електронний ресурс] / А. М. Благодарний // Наук. вісн. Ужгород. нац. ун-ту. Серія : Право : зб. наук. пр.  – Ужгород, 2026. – №</w:t>
      </w:r>
      <w:r w:rsidRPr="00B92736">
        <w:rPr>
          <w:rFonts w:ascii="Times New Roman" w:hAnsi="Times New Roman"/>
          <w:sz w:val="28"/>
          <w:szCs w:val="28"/>
        </w:rPr>
        <w:t xml:space="preserve"> </w:t>
      </w:r>
      <w:r w:rsidRPr="00B92736">
        <w:rPr>
          <w:rFonts w:ascii="Times New Roman" w:hAnsi="Times New Roman"/>
          <w:sz w:val="28"/>
          <w:szCs w:val="28"/>
          <w:lang w:val="uk-UA"/>
        </w:rPr>
        <w:t>93, т. 3. – С.</w:t>
      </w:r>
      <w:r w:rsidRPr="00B92736">
        <w:rPr>
          <w:rFonts w:ascii="Times New Roman" w:hAnsi="Times New Roman"/>
          <w:sz w:val="28"/>
          <w:szCs w:val="28"/>
        </w:rPr>
        <w:t xml:space="preserve"> </w:t>
      </w:r>
      <w:r w:rsidRPr="00B92736">
        <w:rPr>
          <w:rFonts w:ascii="Times New Roman" w:hAnsi="Times New Roman"/>
          <w:sz w:val="28"/>
          <w:szCs w:val="28"/>
          <w:lang w:val="uk-UA"/>
        </w:rPr>
        <w:t xml:space="preserve">31-37. </w:t>
      </w:r>
      <w:r w:rsidRPr="00B92736">
        <w:rPr>
          <w:rFonts w:ascii="Times New Roman" w:hAnsi="Times New Roman"/>
          <w:i/>
          <w:iCs/>
          <w:sz w:val="28"/>
          <w:szCs w:val="28"/>
          <w:lang w:val="uk-UA"/>
        </w:rPr>
        <w:t xml:space="preserve">Досліджено організаційно-правові аспекти відновлення освітньої інфраструктури на деокупованих територіях України в умовах воєнного стану та повоєнної відбудови. Проаналізовано основні виклики, пов’язані з руйнуванням закладів освіти, безпековими ризиками, кадровим дефіцитом, цифровізацією освітнього процесу та реалізацією державної політики у сфері освіти. Розглянуто механізми взаємодії органів державної влади, місцевого самоврядування, закладів освіти та громадського сектора щодо забезпечення безперервного доступу до якісної освіти. Обґрунтовано необхідність комплексного підходу до відновлення освітньої мережі на засадах безпеки, інклюзивності, сталого розвитку та післявоєнної реінтеграції деокупованих територій. </w:t>
      </w:r>
      <w:r w:rsidRPr="00B92736">
        <w:rPr>
          <w:rFonts w:ascii="Times New Roman" w:hAnsi="Times New Roman"/>
          <w:sz w:val="28"/>
          <w:szCs w:val="28"/>
          <w:lang w:val="uk-UA"/>
        </w:rPr>
        <w:t xml:space="preserve">Текст: </w:t>
      </w:r>
      <w:hyperlink r:id="rId13" w:history="1">
        <w:r w:rsidRPr="00B92736">
          <w:rPr>
            <w:rStyle w:val="a3"/>
            <w:rFonts w:ascii="Times New Roman" w:hAnsi="Times New Roman"/>
            <w:sz w:val="28"/>
            <w:szCs w:val="28"/>
            <w:lang w:val="uk-UA"/>
          </w:rPr>
          <w:t>https://visnyk-juris-uzhnu.com/wp-content/uploads/2026/03/5-2.pdf</w:t>
        </w:r>
      </w:hyperlink>
      <w:r w:rsidRPr="00B92736">
        <w:rPr>
          <w:rFonts w:ascii="Times New Roman" w:hAnsi="Times New Roman"/>
          <w:sz w:val="28"/>
          <w:szCs w:val="28"/>
          <w:lang w:val="uk-UA"/>
        </w:rPr>
        <w:t xml:space="preserve"> </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rPr>
        <w:t>Боклаг В. А.</w:t>
      </w:r>
      <w:r w:rsidRPr="00B92736">
        <w:rPr>
          <w:rFonts w:ascii="Times New Roman" w:hAnsi="Times New Roman"/>
          <w:sz w:val="28"/>
          <w:szCs w:val="28"/>
        </w:rPr>
        <w:t xml:space="preserve"> </w:t>
      </w:r>
      <w:r w:rsidRPr="00B92736">
        <w:rPr>
          <w:rFonts w:ascii="Times New Roman" w:hAnsi="Times New Roman"/>
          <w:b/>
          <w:bCs/>
          <w:sz w:val="28"/>
          <w:szCs w:val="28"/>
        </w:rPr>
        <w:t>Державна антикорупційна політика щодо регулювання земельних відносин в умовах децентралізації</w:t>
      </w:r>
      <w:r w:rsidRPr="00B92736">
        <w:rPr>
          <w:rFonts w:ascii="Times New Roman" w:hAnsi="Times New Roman"/>
          <w:sz w:val="28"/>
          <w:szCs w:val="28"/>
        </w:rPr>
        <w:t xml:space="preserve"> [Електронний ресурс] / В. А. Боклаг, К. О. Набока, Я. С. Стрілько</w:t>
      </w:r>
      <w:r w:rsidRPr="00B92736">
        <w:rPr>
          <w:rFonts w:ascii="Times New Roman" w:hAnsi="Times New Roman"/>
          <w:sz w:val="28"/>
          <w:szCs w:val="28"/>
          <w:lang w:val="uk-UA"/>
        </w:rPr>
        <w:t xml:space="preserve"> // Держава та регіони. Серія : Публіч. упр. та адміністрування : наук.-виробн. журн. – 2026. – Вип. 2. – С. 22-26. </w:t>
      </w:r>
      <w:r w:rsidRPr="00B92736">
        <w:rPr>
          <w:rFonts w:ascii="Times New Roman" w:hAnsi="Times New Roman"/>
          <w:i/>
          <w:iCs/>
          <w:sz w:val="28"/>
          <w:szCs w:val="28"/>
          <w:lang w:val="uk-UA"/>
        </w:rPr>
        <w:t>Обґрунтовано авторське розуміння антикорупційної політики у земельній сфері як системи правових, інституційних, організаційних і технологічних заходів, спрямованих на запобігання, виявлення та усунення корупційних ризиків, забезпечення прозорості й підзвітності суб’єктів земельних відносин. Здійснено порівняльний аналіз Антикорупційної стратегії на 2021 - 2025 роки та проєкту Антикорупційної стратегії на 2026 - 2030 роки за напрямами прозорості земельних даних, цифровізації, дискреційних повноважень, земельних аукціонів і ринку землі, інтеграції реєстрів, контролю та моніторингу, а також децентралізації. Визначено ключові напрями вдосконалення антикорупційного механізму у земельній сфері, зокрема цифровізацію земельних процесів, інтеграцію Державного земельного кадастру з реєстром речових прав на нерухоме майно та містобудівним кадастром, мінімізацію людського фактора під час ухвалення управлінських рішень і посилення підзвітності органів місцевого самоврядування (ОМС) як основних суб’єктів розпорядження земельними ресурсами в умовах децентралізації.</w:t>
      </w:r>
      <w:r w:rsidRPr="00B92736">
        <w:rPr>
          <w:rFonts w:ascii="Times New Roman" w:hAnsi="Times New Roman"/>
          <w:sz w:val="28"/>
          <w:szCs w:val="28"/>
          <w:lang w:val="uk-UA"/>
        </w:rPr>
        <w:t xml:space="preserve"> Текст: </w:t>
      </w:r>
      <w:hyperlink r:id="rId14" w:history="1">
        <w:r w:rsidRPr="00B92736">
          <w:rPr>
            <w:rStyle w:val="a3"/>
            <w:rFonts w:ascii="Times New Roman" w:hAnsi="Times New Roman"/>
            <w:sz w:val="28"/>
            <w:szCs w:val="28"/>
            <w:lang w:val="uk-UA"/>
          </w:rPr>
          <w:t>https://pa.stateandregions.zp.ua/archive/2_2026/5.pdf</w:t>
        </w:r>
      </w:hyperlink>
      <w:r w:rsidRPr="00B92736">
        <w:rPr>
          <w:rFonts w:ascii="Times New Roman" w:hAnsi="Times New Roman"/>
          <w:sz w:val="28"/>
          <w:szCs w:val="28"/>
          <w:lang w:val="uk-UA"/>
        </w:rPr>
        <w:t xml:space="preserve"> </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rPr>
        <w:t xml:space="preserve">Буняк В. У Дрогобичі заборонили російськомовні культурні продукти в публічних місцях </w:t>
      </w:r>
      <w:r w:rsidRPr="00B92736">
        <w:rPr>
          <w:rFonts w:ascii="Times New Roman" w:hAnsi="Times New Roman"/>
          <w:sz w:val="28"/>
          <w:szCs w:val="28"/>
          <w:lang w:val="uk-UA"/>
        </w:rPr>
        <w:t xml:space="preserve">[Електронний ресурс] / Валерія Буняк // Детектор </w:t>
      </w:r>
      <w:proofErr w:type="gramStart"/>
      <w:r w:rsidRPr="00B92736">
        <w:rPr>
          <w:rFonts w:ascii="Times New Roman" w:hAnsi="Times New Roman"/>
          <w:sz w:val="28"/>
          <w:szCs w:val="28"/>
          <w:lang w:val="uk-UA"/>
        </w:rPr>
        <w:t>медіа :</w:t>
      </w:r>
      <w:proofErr w:type="gramEnd"/>
      <w:r w:rsidRPr="00B92736">
        <w:rPr>
          <w:rFonts w:ascii="Times New Roman" w:hAnsi="Times New Roman"/>
          <w:sz w:val="28"/>
          <w:szCs w:val="28"/>
          <w:lang w:val="uk-UA"/>
        </w:rPr>
        <w:t xml:space="preserve"> [інтернет-вид.]. – 2026. – 6 серп. – Електрон. дані.  </w:t>
      </w:r>
      <w:r w:rsidRPr="00B92736">
        <w:rPr>
          <w:rFonts w:ascii="Times New Roman" w:hAnsi="Times New Roman"/>
          <w:i/>
          <w:iCs/>
          <w:sz w:val="28"/>
          <w:szCs w:val="28"/>
        </w:rPr>
        <w:t>Йдеться про рішення Дрогобицької міської ради про запровадження мораторію на публічне використання російськомовного культурного продукту на території громади. Зазначено, що обмеження діятимуть до припинення збройної агресії РФ проти України та спрямовані на захист українського інформаційного простору, зміцнення національної ідентичності й протидію гібридному впливу держави-агресора. Рішення було ухвалене після суспільного резонансу, спричиненого конфліктом через публічне відтворення російськомовної музики, та відзначає поширення аналогічної практики в інших територіальних громадах України.</w:t>
      </w:r>
      <w:r w:rsidRPr="00B92736">
        <w:rPr>
          <w:rFonts w:ascii="Times New Roman" w:hAnsi="Times New Roman"/>
          <w:sz w:val="28"/>
          <w:szCs w:val="28"/>
          <w:lang w:val="uk-UA"/>
        </w:rPr>
        <w:t xml:space="preserve"> Текст: </w:t>
      </w:r>
      <w:hyperlink r:id="rId15" w:tgtFrame="_blank" w:history="1">
        <w:r w:rsidRPr="00B92736">
          <w:rPr>
            <w:rStyle w:val="a3"/>
            <w:rFonts w:ascii="Times New Roman" w:hAnsi="Times New Roman"/>
            <w:sz w:val="28"/>
            <w:szCs w:val="28"/>
          </w:rPr>
          <w:t>https</w:t>
        </w:r>
        <w:r w:rsidRPr="00B92736">
          <w:rPr>
            <w:rStyle w:val="a3"/>
            <w:rFonts w:ascii="Times New Roman" w:hAnsi="Times New Roman"/>
            <w:sz w:val="28"/>
            <w:szCs w:val="28"/>
            <w:lang w:val="uk-UA"/>
          </w:rPr>
          <w:t>://</w:t>
        </w:r>
        <w:r w:rsidRPr="00B92736">
          <w:rPr>
            <w:rStyle w:val="a3"/>
            <w:rFonts w:ascii="Times New Roman" w:hAnsi="Times New Roman"/>
            <w:sz w:val="28"/>
            <w:szCs w:val="28"/>
          </w:rPr>
          <w:t>detector</w:t>
        </w:r>
        <w:r w:rsidRPr="00B92736">
          <w:rPr>
            <w:rStyle w:val="a3"/>
            <w:rFonts w:ascii="Times New Roman" w:hAnsi="Times New Roman"/>
            <w:sz w:val="28"/>
            <w:szCs w:val="28"/>
            <w:lang w:val="uk-UA"/>
          </w:rPr>
          <w:t>.</w:t>
        </w:r>
        <w:r w:rsidRPr="00B92736">
          <w:rPr>
            <w:rStyle w:val="a3"/>
            <w:rFonts w:ascii="Times New Roman" w:hAnsi="Times New Roman"/>
            <w:sz w:val="28"/>
            <w:szCs w:val="28"/>
          </w:rPr>
          <w:t>media</w:t>
        </w:r>
        <w:r w:rsidRPr="00B92736">
          <w:rPr>
            <w:rStyle w:val="a3"/>
            <w:rFonts w:ascii="Times New Roman" w:hAnsi="Times New Roman"/>
            <w:sz w:val="28"/>
            <w:szCs w:val="28"/>
            <w:lang w:val="uk-UA"/>
          </w:rPr>
          <w:t>/</w:t>
        </w:r>
        <w:r w:rsidRPr="00B92736">
          <w:rPr>
            <w:rStyle w:val="a3"/>
            <w:rFonts w:ascii="Times New Roman" w:hAnsi="Times New Roman"/>
            <w:sz w:val="28"/>
            <w:szCs w:val="28"/>
          </w:rPr>
          <w:t>infospace</w:t>
        </w:r>
        <w:r w:rsidRPr="00B92736">
          <w:rPr>
            <w:rStyle w:val="a3"/>
            <w:rFonts w:ascii="Times New Roman" w:hAnsi="Times New Roman"/>
            <w:sz w:val="28"/>
            <w:szCs w:val="28"/>
            <w:lang w:val="uk-UA"/>
          </w:rPr>
          <w:t>/</w:t>
        </w:r>
        <w:r w:rsidRPr="00B92736">
          <w:rPr>
            <w:rStyle w:val="a3"/>
            <w:rFonts w:ascii="Times New Roman" w:hAnsi="Times New Roman"/>
            <w:sz w:val="28"/>
            <w:szCs w:val="28"/>
          </w:rPr>
          <w:t>article</w:t>
        </w:r>
        <w:r w:rsidRPr="00B92736">
          <w:rPr>
            <w:rStyle w:val="a3"/>
            <w:rFonts w:ascii="Times New Roman" w:hAnsi="Times New Roman"/>
            <w:sz w:val="28"/>
            <w:szCs w:val="28"/>
            <w:lang w:val="uk-UA"/>
          </w:rPr>
          <w:t>/251716/2026-08-06-</w:t>
        </w:r>
        <w:r w:rsidRPr="00B92736">
          <w:rPr>
            <w:rStyle w:val="a3"/>
            <w:rFonts w:ascii="Times New Roman" w:hAnsi="Times New Roman"/>
            <w:sz w:val="28"/>
            <w:szCs w:val="28"/>
          </w:rPr>
          <w:t>u</w:t>
        </w:r>
        <w:r w:rsidRPr="00B92736">
          <w:rPr>
            <w:rStyle w:val="a3"/>
            <w:rFonts w:ascii="Times New Roman" w:hAnsi="Times New Roman"/>
            <w:sz w:val="28"/>
            <w:szCs w:val="28"/>
            <w:lang w:val="uk-UA"/>
          </w:rPr>
          <w:t>-</w:t>
        </w:r>
        <w:r w:rsidRPr="00B92736">
          <w:rPr>
            <w:rStyle w:val="a3"/>
            <w:rFonts w:ascii="Times New Roman" w:hAnsi="Times New Roman"/>
            <w:sz w:val="28"/>
            <w:szCs w:val="28"/>
          </w:rPr>
          <w:t>drogobychi</w:t>
        </w:r>
        <w:r w:rsidRPr="00B92736">
          <w:rPr>
            <w:rStyle w:val="a3"/>
            <w:rFonts w:ascii="Times New Roman" w:hAnsi="Times New Roman"/>
            <w:sz w:val="28"/>
            <w:szCs w:val="28"/>
            <w:lang w:val="uk-UA"/>
          </w:rPr>
          <w:t>-</w:t>
        </w:r>
        <w:r w:rsidRPr="00B92736">
          <w:rPr>
            <w:rStyle w:val="a3"/>
            <w:rFonts w:ascii="Times New Roman" w:hAnsi="Times New Roman"/>
            <w:sz w:val="28"/>
            <w:szCs w:val="28"/>
          </w:rPr>
          <w:t>zaboronyly</w:t>
        </w:r>
        <w:r w:rsidRPr="00B92736">
          <w:rPr>
            <w:rStyle w:val="a3"/>
            <w:rFonts w:ascii="Times New Roman" w:hAnsi="Times New Roman"/>
            <w:sz w:val="28"/>
            <w:szCs w:val="28"/>
            <w:lang w:val="uk-UA"/>
          </w:rPr>
          <w:t>-</w:t>
        </w:r>
        <w:r w:rsidRPr="00B92736">
          <w:rPr>
            <w:rStyle w:val="a3"/>
            <w:rFonts w:ascii="Times New Roman" w:hAnsi="Times New Roman"/>
            <w:sz w:val="28"/>
            <w:szCs w:val="28"/>
          </w:rPr>
          <w:t>rosiyskomovni</w:t>
        </w:r>
        <w:r w:rsidRPr="00B92736">
          <w:rPr>
            <w:rStyle w:val="a3"/>
            <w:rFonts w:ascii="Times New Roman" w:hAnsi="Times New Roman"/>
            <w:sz w:val="28"/>
            <w:szCs w:val="28"/>
            <w:lang w:val="uk-UA"/>
          </w:rPr>
          <w:t>-</w:t>
        </w:r>
        <w:r w:rsidRPr="00B92736">
          <w:rPr>
            <w:rStyle w:val="a3"/>
            <w:rFonts w:ascii="Times New Roman" w:hAnsi="Times New Roman"/>
            <w:sz w:val="28"/>
            <w:szCs w:val="28"/>
          </w:rPr>
          <w:t>kulturni</w:t>
        </w:r>
        <w:r w:rsidRPr="00B92736">
          <w:rPr>
            <w:rStyle w:val="a3"/>
            <w:rFonts w:ascii="Times New Roman" w:hAnsi="Times New Roman"/>
            <w:sz w:val="28"/>
            <w:szCs w:val="28"/>
            <w:lang w:val="uk-UA"/>
          </w:rPr>
          <w:t>-</w:t>
        </w:r>
        <w:r w:rsidRPr="00B92736">
          <w:rPr>
            <w:rStyle w:val="a3"/>
            <w:rFonts w:ascii="Times New Roman" w:hAnsi="Times New Roman"/>
            <w:sz w:val="28"/>
            <w:szCs w:val="28"/>
          </w:rPr>
          <w:t>produkty</w:t>
        </w:r>
        <w:r w:rsidRPr="00B92736">
          <w:rPr>
            <w:rStyle w:val="a3"/>
            <w:rFonts w:ascii="Times New Roman" w:hAnsi="Times New Roman"/>
            <w:sz w:val="28"/>
            <w:szCs w:val="28"/>
            <w:lang w:val="uk-UA"/>
          </w:rPr>
          <w:t>-</w:t>
        </w:r>
        <w:r w:rsidRPr="00B92736">
          <w:rPr>
            <w:rStyle w:val="a3"/>
            <w:rFonts w:ascii="Times New Roman" w:hAnsi="Times New Roman"/>
            <w:sz w:val="28"/>
            <w:szCs w:val="28"/>
          </w:rPr>
          <w:t>v</w:t>
        </w:r>
        <w:r w:rsidRPr="00B92736">
          <w:rPr>
            <w:rStyle w:val="a3"/>
            <w:rFonts w:ascii="Times New Roman" w:hAnsi="Times New Roman"/>
            <w:sz w:val="28"/>
            <w:szCs w:val="28"/>
            <w:lang w:val="uk-UA"/>
          </w:rPr>
          <w:t>-</w:t>
        </w:r>
        <w:r w:rsidRPr="00B92736">
          <w:rPr>
            <w:rStyle w:val="a3"/>
            <w:rFonts w:ascii="Times New Roman" w:hAnsi="Times New Roman"/>
            <w:sz w:val="28"/>
            <w:szCs w:val="28"/>
          </w:rPr>
          <w:t>publichnykh</w:t>
        </w:r>
        <w:r w:rsidRPr="00B92736">
          <w:rPr>
            <w:rStyle w:val="a3"/>
            <w:rFonts w:ascii="Times New Roman" w:hAnsi="Times New Roman"/>
            <w:sz w:val="28"/>
            <w:szCs w:val="28"/>
            <w:lang w:val="uk-UA"/>
          </w:rPr>
          <w:t>-</w:t>
        </w:r>
        <w:r w:rsidRPr="00B92736">
          <w:rPr>
            <w:rStyle w:val="a3"/>
            <w:rFonts w:ascii="Times New Roman" w:hAnsi="Times New Roman"/>
            <w:sz w:val="28"/>
            <w:szCs w:val="28"/>
          </w:rPr>
          <w:t>mistsyakh</w:t>
        </w:r>
        <w:r w:rsidRPr="00B92736">
          <w:rPr>
            <w:rStyle w:val="a3"/>
            <w:rFonts w:ascii="Times New Roman" w:hAnsi="Times New Roman"/>
            <w:sz w:val="28"/>
            <w:szCs w:val="28"/>
            <w:lang w:val="uk-UA"/>
          </w:rPr>
          <w:t>/</w:t>
        </w:r>
      </w:hyperlink>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rPr>
      </w:pPr>
      <w:r w:rsidRPr="00B92736">
        <w:rPr>
          <w:rFonts w:ascii="Times New Roman" w:hAnsi="Times New Roman"/>
          <w:b/>
          <w:bCs/>
          <w:sz w:val="28"/>
          <w:szCs w:val="28"/>
        </w:rPr>
        <w:t xml:space="preserve">Верховна Рада вивчає, як цифровізація змінює роботу громад </w:t>
      </w:r>
      <w:r w:rsidRPr="00B92736">
        <w:rPr>
          <w:rFonts w:ascii="Times New Roman" w:hAnsi="Times New Roman"/>
          <w:i/>
          <w:iCs/>
          <w:sz w:val="28"/>
          <w:szCs w:val="28"/>
        </w:rPr>
        <w:t>[Електронний ресурс]</w:t>
      </w:r>
      <w:r w:rsidRPr="00B92736">
        <w:rPr>
          <w:rFonts w:ascii="Times New Roman" w:hAnsi="Times New Roman"/>
          <w:sz w:val="28"/>
          <w:szCs w:val="28"/>
        </w:rPr>
        <w:t xml:space="preserve"> / Прес-служба Апарату Верхов. Ради України // Голос України. – 2026. – 5 серп. [№ 654]. – Електрон. дані.</w:t>
      </w:r>
      <w:r w:rsidRPr="00B92736">
        <w:rPr>
          <w:rFonts w:ascii="Times New Roman" w:hAnsi="Times New Roman"/>
          <w:b/>
          <w:bCs/>
          <w:sz w:val="28"/>
          <w:szCs w:val="28"/>
        </w:rPr>
        <w:t xml:space="preserve"> </w:t>
      </w:r>
      <w:r w:rsidRPr="00B92736">
        <w:rPr>
          <w:rFonts w:ascii="Times New Roman" w:hAnsi="Times New Roman"/>
          <w:i/>
          <w:iCs/>
          <w:sz w:val="28"/>
          <w:szCs w:val="28"/>
        </w:rPr>
        <w:t xml:space="preserve">Як повідомив Перший заступник Голови Верховної Ради України (ВР України) Олександр Корнієнко, оголосивши про старт чергового опитування на тему «Впровадження секторальних реформ на місцях. Цифровізація: погляд старост», у ВР України розпочали нове опитування старост територіальних громад, щоб оцінити впровадження цифровізації на місцях і врахувати практичний досвід під час підготовки законодавчих змін. За його словами, ВР України постійно аналізує, як </w:t>
      </w:r>
      <w:proofErr w:type="gramStart"/>
      <w:r w:rsidRPr="00B92736">
        <w:rPr>
          <w:rFonts w:ascii="Times New Roman" w:hAnsi="Times New Roman"/>
          <w:i/>
          <w:iCs/>
          <w:sz w:val="28"/>
          <w:szCs w:val="28"/>
        </w:rPr>
        <w:t>у громадах</w:t>
      </w:r>
      <w:proofErr w:type="gramEnd"/>
      <w:r w:rsidRPr="00B92736">
        <w:rPr>
          <w:rFonts w:ascii="Times New Roman" w:hAnsi="Times New Roman"/>
          <w:i/>
          <w:iCs/>
          <w:sz w:val="28"/>
          <w:szCs w:val="28"/>
        </w:rPr>
        <w:t xml:space="preserve"> реалізуються ключові державні реформи, зокрема у сферах місцевого самоврядування, територіальної організації влади та цифровізації. О. Корнієнко наголосив, що саме старости щодня працюють із жителями громад, бачать практичні результати реформ і можуть визначити, які законодавчі норми потребують удосконалення. Очікується, що результати опитування допоможуть проаналізувати перебіг реформ на місцях, визначити проблемні питання та напрацювати законодавчі рішення, які відповідатимуть реальним потребам територіальних громад. </w:t>
      </w:r>
      <w:r w:rsidR="006835F4">
        <w:rPr>
          <w:rFonts w:ascii="Times New Roman" w:hAnsi="Times New Roman"/>
          <w:i/>
          <w:iCs/>
          <w:sz w:val="28"/>
          <w:szCs w:val="28"/>
          <w:lang w:val="uk-UA"/>
        </w:rPr>
        <w:t xml:space="preserve">       </w:t>
      </w:r>
      <w:r w:rsidRPr="00B92736">
        <w:rPr>
          <w:rFonts w:ascii="Times New Roman" w:hAnsi="Times New Roman"/>
          <w:sz w:val="28"/>
          <w:szCs w:val="28"/>
        </w:rPr>
        <w:t xml:space="preserve">Текст: </w:t>
      </w:r>
      <w:hyperlink r:id="rId16" w:tgtFrame="_blank" w:history="1">
        <w:r w:rsidRPr="00B92736">
          <w:rPr>
            <w:rStyle w:val="a3"/>
            <w:rFonts w:ascii="Times New Roman" w:hAnsi="Times New Roman"/>
            <w:sz w:val="28"/>
            <w:szCs w:val="28"/>
            <w:lang w:val="uk-UA"/>
          </w:rPr>
          <w:t>https://www.golos.com.ua/article/392186</w:t>
        </w:r>
      </w:hyperlink>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lang w:val="uk-UA"/>
        </w:rPr>
        <w:t>Виклики та пріоритети управління економікою територіальних громад Західного макрорегіону України на засадах ”зеленого” переходу</w:t>
      </w:r>
      <w:r w:rsidRPr="00B92736">
        <w:rPr>
          <w:rFonts w:ascii="Times New Roman" w:hAnsi="Times New Roman"/>
          <w:sz w:val="28"/>
          <w:szCs w:val="28"/>
        </w:rPr>
        <w:t xml:space="preserve"> </w:t>
      </w:r>
      <w:r w:rsidRPr="00B92736">
        <w:rPr>
          <w:rFonts w:ascii="Times New Roman" w:hAnsi="Times New Roman"/>
          <w:sz w:val="28"/>
          <w:szCs w:val="28"/>
          <w:lang w:val="uk-UA"/>
        </w:rPr>
        <w:t xml:space="preserve">: наук.-аналіт. доп. / [І. В. Лещух та ін. ; НАН України, ДУ ”Ін-т регіон. дослідж. ім. М. І. Долішнього НАН України”. — Львів : Ін-т регіон. дослідж. ім. </w:t>
      </w:r>
      <w:r w:rsidRPr="00B92736">
        <w:rPr>
          <w:rFonts w:ascii="Times New Roman" w:hAnsi="Times New Roman"/>
          <w:sz w:val="28"/>
          <w:szCs w:val="28"/>
        </w:rPr>
        <w:t xml:space="preserve">М. І. Долішнього НАН України, 2025. — 88 </w:t>
      </w:r>
      <w:proofErr w:type="gramStart"/>
      <w:r w:rsidRPr="00B92736">
        <w:rPr>
          <w:rFonts w:ascii="Times New Roman" w:hAnsi="Times New Roman"/>
          <w:sz w:val="28"/>
          <w:szCs w:val="28"/>
        </w:rPr>
        <w:t>с. :</w:t>
      </w:r>
      <w:proofErr w:type="gramEnd"/>
      <w:r w:rsidRPr="00B92736">
        <w:rPr>
          <w:rFonts w:ascii="Times New Roman" w:hAnsi="Times New Roman"/>
          <w:sz w:val="28"/>
          <w:szCs w:val="28"/>
        </w:rPr>
        <w:t xml:space="preserve"> іл., табл. — (Проблеми регіон. розвитку). </w:t>
      </w:r>
      <w:r w:rsidRPr="00B92736">
        <w:rPr>
          <w:rFonts w:ascii="Times New Roman" w:hAnsi="Times New Roman"/>
          <w:b/>
          <w:bCs/>
          <w:i/>
          <w:iCs/>
          <w:sz w:val="28"/>
          <w:szCs w:val="28"/>
        </w:rPr>
        <w:t xml:space="preserve">Шифр зберігання в Бібліотеці: В86497 </w:t>
      </w:r>
      <w:r w:rsidRPr="00B92736">
        <w:rPr>
          <w:rFonts w:ascii="Times New Roman" w:hAnsi="Times New Roman"/>
          <w:i/>
          <w:iCs/>
          <w:sz w:val="28"/>
          <w:szCs w:val="28"/>
        </w:rPr>
        <w:t>Розглянуто особливості впровадження ініціатив і заходів «зеленого» переходу в економіці територіальних громад Західного макрорегіону України в умовах воєнного часу. Обгрунтовано теоретичні підходи до кліматично орієнтованого та сталого розвитку в умовах воєнного часу, проаналізовано положення Європейського зеленого курсу та окреслено напрями їх інтеграції у національну політику економічного відновлення України. На основі опитування органів місцевого самоврядування (ОМС) Західного макрорегіону України досліджено стан управління «зеленим» переходом, особливості залучення бізнесу до реалізації «зелених» ініціатив на локальному рівні, визначено наявні бар’єри та перспективи розвитку екологічно орієнтованої місцевої економіки. Надано практичні рекомендації щодо посилення інституційної спроможності ОМС, розвитку відновлюваної енергетики та застосування інструментів сталого місцевого розвитку у повоєнний період.</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rPr>
        <w:t>Волікова М. М.</w:t>
      </w:r>
      <w:r w:rsidRPr="00B92736">
        <w:rPr>
          <w:rFonts w:ascii="Times New Roman" w:hAnsi="Times New Roman"/>
          <w:sz w:val="28"/>
          <w:szCs w:val="28"/>
          <w:lang w:val="uk-UA"/>
        </w:rPr>
        <w:t xml:space="preserve"> </w:t>
      </w:r>
      <w:r w:rsidRPr="00B92736">
        <w:rPr>
          <w:rFonts w:ascii="Times New Roman" w:hAnsi="Times New Roman"/>
          <w:b/>
          <w:bCs/>
          <w:sz w:val="28"/>
          <w:szCs w:val="28"/>
        </w:rPr>
        <w:t>Трансформація вищої освіти України в умовах воєнних викликів</w:t>
      </w:r>
      <w:r w:rsidRPr="00B92736">
        <w:rPr>
          <w:rFonts w:ascii="Times New Roman" w:hAnsi="Times New Roman"/>
          <w:sz w:val="28"/>
          <w:szCs w:val="28"/>
        </w:rPr>
        <w:t xml:space="preserve"> [Електронний ресурс] / М. М. Волікова, Г. В. Коваль</w:t>
      </w:r>
      <w:r w:rsidRPr="00B92736">
        <w:rPr>
          <w:rFonts w:ascii="Times New Roman" w:hAnsi="Times New Roman"/>
          <w:sz w:val="28"/>
          <w:szCs w:val="28"/>
          <w:lang w:val="uk-UA"/>
        </w:rPr>
        <w:t xml:space="preserve"> // Держава та регіони. Серія : Публіч. упр. та адміністрування : наук.-виробн. журн. – 2026. – Вип. 2. – С. 27-32.</w:t>
      </w:r>
      <w:r w:rsidRPr="00B92736">
        <w:rPr>
          <w:rFonts w:ascii="Times New Roman" w:hAnsi="Times New Roman"/>
          <w:i/>
          <w:iCs/>
          <w:sz w:val="28"/>
          <w:szCs w:val="28"/>
          <w:lang w:val="uk-UA"/>
        </w:rPr>
        <w:t xml:space="preserve"> Проаналізовано основні напрями модернізації освітньої системи, зокрема впровадження цифрових технологій, розвиток дистанційного навчання, адаптацію освітніх програм до європейських стандартів і забезпечення безперервності освітнього процесу. Обґрунтовано важливість створення безпечного та доступного освітнього середовища, здатного забезпечити якісну освіту для здобувачів як в Україні, так і за її межами. Визначено ключову роль державної влади та органів місцевого самоврядування (ОМС) у реалізації людиноцентрованої освітньої політики, спрямованої на розвиток інтелектуального й творчого потенціалу громадян. Зроблено висновок про необхідність удосконалення механізмів державного управління у сфері вищої освіти та формування стійкої моделі її розвитку, орієнтованої на післявоєнне відновлення й підготовку конкурентоспроможних фахівців. </w:t>
      </w:r>
      <w:r w:rsidRPr="00B92736">
        <w:rPr>
          <w:rFonts w:ascii="Times New Roman" w:hAnsi="Times New Roman"/>
          <w:sz w:val="28"/>
          <w:szCs w:val="28"/>
          <w:lang w:val="uk-UA"/>
        </w:rPr>
        <w:t xml:space="preserve">Текст: </w:t>
      </w:r>
      <w:hyperlink r:id="rId17" w:history="1">
        <w:r w:rsidRPr="00B92736">
          <w:rPr>
            <w:rStyle w:val="a3"/>
            <w:rFonts w:ascii="Times New Roman" w:hAnsi="Times New Roman"/>
            <w:sz w:val="28"/>
            <w:szCs w:val="28"/>
            <w:lang w:val="uk-UA"/>
          </w:rPr>
          <w:t>https://pa.stateandregions.zp.ua/archive/2_2026/6.pdf</w:t>
        </w:r>
      </w:hyperlink>
      <w:r w:rsidRPr="00B92736">
        <w:rPr>
          <w:rFonts w:ascii="Times New Roman" w:hAnsi="Times New Roman"/>
          <w:sz w:val="28"/>
          <w:szCs w:val="28"/>
          <w:lang w:val="uk-UA"/>
        </w:rPr>
        <w:t xml:space="preserve"> </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rPr>
        <w:t xml:space="preserve">Горінов П. В. Державне управління та місцеве </w:t>
      </w:r>
      <w:proofErr w:type="gramStart"/>
      <w:r w:rsidRPr="00B92736">
        <w:rPr>
          <w:rFonts w:ascii="Times New Roman" w:hAnsi="Times New Roman"/>
          <w:b/>
          <w:bCs/>
          <w:sz w:val="28"/>
          <w:szCs w:val="28"/>
        </w:rPr>
        <w:t>самоврядування :</w:t>
      </w:r>
      <w:proofErr w:type="gramEnd"/>
      <w:r w:rsidRPr="00B92736">
        <w:rPr>
          <w:rFonts w:ascii="Times New Roman" w:hAnsi="Times New Roman"/>
          <w:b/>
          <w:bCs/>
          <w:sz w:val="28"/>
          <w:szCs w:val="28"/>
        </w:rPr>
        <w:t xml:space="preserve"> навч. посіб. </w:t>
      </w:r>
      <w:r w:rsidRPr="00B92736">
        <w:rPr>
          <w:rFonts w:ascii="Times New Roman" w:hAnsi="Times New Roman"/>
          <w:sz w:val="28"/>
          <w:szCs w:val="28"/>
          <w:lang w:val="uk-UA"/>
        </w:rPr>
        <w:t xml:space="preserve">[для студентів, викл., науковців, фахівців у сфері держ. упр. та ін.] / Павло Горінов, Ростислав Драпушко, Сергій Вилков ; [передм. В. Андрущенко]. — Київ : Академія, 2026. — 343 с. : іл., табл. </w:t>
      </w:r>
      <w:r w:rsidRPr="00B92736">
        <w:rPr>
          <w:rFonts w:ascii="Times New Roman" w:hAnsi="Times New Roman"/>
          <w:b/>
          <w:bCs/>
          <w:i/>
          <w:iCs/>
          <w:sz w:val="28"/>
          <w:szCs w:val="28"/>
          <w:lang w:val="uk-UA"/>
        </w:rPr>
        <w:t xml:space="preserve">Шифр зберігання в Бібліотеці: Б379293 </w:t>
      </w:r>
      <w:r w:rsidRPr="00B92736">
        <w:rPr>
          <w:rFonts w:ascii="Times New Roman" w:hAnsi="Times New Roman"/>
          <w:i/>
          <w:iCs/>
          <w:sz w:val="28"/>
          <w:szCs w:val="28"/>
          <w:lang w:val="uk-UA"/>
        </w:rPr>
        <w:t xml:space="preserve">Навчальний посібник є комплексним дослідженням теоретичних і прикладних аспектів державного управління та місцевого самоврядування, що охоплює основні концептуальні підходи, нормативно-правове регулювання, структурні елементи, функції та принципи публічного управління. </w:t>
      </w:r>
      <w:r w:rsidRPr="00B92736">
        <w:rPr>
          <w:rFonts w:ascii="Times New Roman" w:hAnsi="Times New Roman"/>
          <w:i/>
          <w:iCs/>
          <w:sz w:val="28"/>
          <w:szCs w:val="28"/>
        </w:rPr>
        <w:t>Висвітлено ключові етапи історичного розвитку державного управління, особливості сучасних моделей адміністративного управління, а також вплив глобальних тенденцій на трансформацію системи публічного адміністрування. Увагу приділено питанням цифрової трансформації державного управління, взаємодії органів державної влади з громадянським суспільством, механізмам стратегічного планування та оцінки ефективності державної політики.</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rPr>
        <w:t xml:space="preserve">Громади мають зберегти 64 % ПДФО та отримати прогнозоване фінансування — Олександр Корнієнко </w:t>
      </w:r>
      <w:r w:rsidRPr="00B92736">
        <w:rPr>
          <w:rFonts w:ascii="Times New Roman" w:hAnsi="Times New Roman"/>
          <w:sz w:val="28"/>
          <w:szCs w:val="28"/>
        </w:rPr>
        <w:t>[Електронний ресурс] / Прес-служба Апарату Верхов. Ради України // Голос України. – 2026. – 18 серп. [№ 662]. – Електрон. дані.</w:t>
      </w:r>
      <w:r w:rsidRPr="00B92736">
        <w:rPr>
          <w:rFonts w:ascii="Times New Roman" w:hAnsi="Times New Roman"/>
          <w:b/>
          <w:bCs/>
          <w:sz w:val="28"/>
          <w:szCs w:val="28"/>
        </w:rPr>
        <w:t xml:space="preserve"> </w:t>
      </w:r>
      <w:r w:rsidRPr="00B92736">
        <w:rPr>
          <w:rFonts w:ascii="Times New Roman" w:hAnsi="Times New Roman"/>
          <w:i/>
          <w:iCs/>
          <w:sz w:val="28"/>
          <w:szCs w:val="28"/>
          <w:lang w:val="uk-UA"/>
        </w:rPr>
        <w:t xml:space="preserve">Подано інформацію, що під час робочого візиту на Волинь Перший заступник Голови Верховної Ради України (ВР України) Олександр Корнієнко разом із представниками органів місцевого самоврядування (ОМС) області обговорив питання стабільної роботи та розвитку громад. Одним із ключових питань стала фінансова спроможність громад. Серед пріоритетів — збереження 64 % податку на доходи фізичних осіб (ПДФО), перегляд підходів до реверсної дотації, а також своєчасне й прогнозоване фінансування субвенцій та дотацій. Як зазначив О. Корнієнко, громади мають заздалегідь розуміти, на які обсяги фінансування можуть розраховувати в освіті, медицині, соціальній сфері, шкільному харчуванні та інших напрямах. Це дасть змогу планувати місцеві бюджети ще до початку нового фінансового року. Окрему увагу під час зустрічі приділили підтримці внутрішньо переміщених осіб (ВПО). Йшлося про оцінку ефективності чинних програм та спрямування ресурсів на інтеграцію ВПО в громади, забезпечення їх житлом і працевлаштування. Ще одним напрямом обговорення стало наближення регіональної політики до європейських підходів. </w:t>
      </w:r>
      <w:r w:rsidRPr="00B92736">
        <w:rPr>
          <w:rFonts w:ascii="Times New Roman" w:hAnsi="Times New Roman"/>
          <w:sz w:val="28"/>
          <w:szCs w:val="28"/>
          <w:lang w:val="uk-UA"/>
        </w:rPr>
        <w:t xml:space="preserve">Текст: </w:t>
      </w:r>
      <w:hyperlink r:id="rId18" w:tgtFrame="_blank" w:history="1">
        <w:r w:rsidRPr="00B92736">
          <w:rPr>
            <w:rStyle w:val="a3"/>
            <w:rFonts w:ascii="Times New Roman" w:hAnsi="Times New Roman"/>
            <w:sz w:val="28"/>
            <w:szCs w:val="28"/>
            <w:lang w:val="uk-UA"/>
          </w:rPr>
          <w:t>https://www.golos.com.ua/article/392275</w:t>
        </w:r>
      </w:hyperlink>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lang w:val="uk-UA"/>
        </w:rPr>
        <w:t>Данченко Т. В. Правові засади реалізації окремих форм прямого народовладдя в умовах децентралізації публічної влади в Україні</w:t>
      </w:r>
      <w:r w:rsidRPr="00B92736">
        <w:rPr>
          <w:rFonts w:ascii="Times New Roman" w:hAnsi="Times New Roman"/>
          <w:sz w:val="28"/>
          <w:szCs w:val="28"/>
          <w:lang w:val="uk-UA"/>
        </w:rPr>
        <w:t xml:space="preserve"> [Електронний ресурс] /  Т. В.</w:t>
      </w:r>
      <w:r w:rsidRPr="00B92736">
        <w:rPr>
          <w:rFonts w:ascii="Times New Roman" w:hAnsi="Times New Roman"/>
          <w:sz w:val="28"/>
          <w:szCs w:val="28"/>
        </w:rPr>
        <w:t xml:space="preserve"> </w:t>
      </w:r>
      <w:r w:rsidRPr="00B92736">
        <w:rPr>
          <w:rFonts w:ascii="Times New Roman" w:hAnsi="Times New Roman"/>
          <w:sz w:val="28"/>
          <w:szCs w:val="28"/>
          <w:lang w:val="uk-UA"/>
        </w:rPr>
        <w:t>Данченко, А. І. Суббот // Наук. вісн. Ужгород. нац. ун-ту. Серія : Право : зб. наук. пр.  – Ужгород, 2026. – №</w:t>
      </w:r>
      <w:r w:rsidRPr="00B92736">
        <w:rPr>
          <w:rFonts w:ascii="Times New Roman" w:hAnsi="Times New Roman"/>
          <w:sz w:val="28"/>
          <w:szCs w:val="28"/>
        </w:rPr>
        <w:t xml:space="preserve"> </w:t>
      </w:r>
      <w:r w:rsidRPr="00B92736">
        <w:rPr>
          <w:rFonts w:ascii="Times New Roman" w:hAnsi="Times New Roman"/>
          <w:sz w:val="28"/>
          <w:szCs w:val="28"/>
          <w:lang w:val="uk-UA"/>
        </w:rPr>
        <w:t>93, т. 3. – С.</w:t>
      </w:r>
      <w:r w:rsidRPr="00B92736">
        <w:rPr>
          <w:rFonts w:ascii="Times New Roman" w:hAnsi="Times New Roman"/>
          <w:sz w:val="28"/>
          <w:szCs w:val="28"/>
        </w:rPr>
        <w:t xml:space="preserve"> </w:t>
      </w:r>
      <w:r w:rsidRPr="00B92736">
        <w:rPr>
          <w:rFonts w:ascii="Times New Roman" w:hAnsi="Times New Roman"/>
          <w:sz w:val="28"/>
          <w:szCs w:val="28"/>
          <w:lang w:val="uk-UA"/>
        </w:rPr>
        <w:t>107-112.</w:t>
      </w:r>
      <w:r w:rsidRPr="00B92736">
        <w:rPr>
          <w:rFonts w:ascii="Times New Roman" w:hAnsi="Times New Roman"/>
          <w:sz w:val="28"/>
          <w:szCs w:val="28"/>
        </w:rPr>
        <w:t xml:space="preserve"> </w:t>
      </w:r>
      <w:r w:rsidRPr="00B92736">
        <w:rPr>
          <w:rFonts w:ascii="Times New Roman" w:hAnsi="Times New Roman"/>
          <w:i/>
          <w:iCs/>
          <w:sz w:val="28"/>
          <w:szCs w:val="28"/>
          <w:lang w:val="uk-UA"/>
        </w:rPr>
        <w:t>Досліджено нормативно-правове регулювання форм прямого народовладдя на місцевому рівні в умовах децентралізації публічної влади в Україні. Проаналізовано законодавче забезпечення проведення загальних зборів громадян, громадських обговорень, громадських слухань і консультацій з громадськістю та виявлено наявність правових прогалин у цій сфері. Визначено роль статутів територіальних громад як ключових локальних актів, що регулюють участь громадян у формуванні та реалізації місцевої політики. Запропоновано напрями вдосконалення законодавства щодо розвитку інструментів прямого народовладдя та підвищення ефективності участі громадян у місцевому самоврядуванні.</w:t>
      </w:r>
      <w:r w:rsidRPr="00B92736">
        <w:rPr>
          <w:rFonts w:ascii="Times New Roman" w:hAnsi="Times New Roman"/>
          <w:sz w:val="28"/>
          <w:szCs w:val="28"/>
          <w:lang w:val="uk-UA"/>
        </w:rPr>
        <w:t xml:space="preserve"> </w:t>
      </w:r>
      <w:r w:rsidR="006835F4">
        <w:rPr>
          <w:rFonts w:ascii="Times New Roman" w:hAnsi="Times New Roman"/>
          <w:sz w:val="28"/>
          <w:szCs w:val="28"/>
          <w:lang w:val="uk-UA"/>
        </w:rPr>
        <w:t xml:space="preserve">           </w:t>
      </w:r>
      <w:r w:rsidRPr="00B92736">
        <w:rPr>
          <w:rFonts w:ascii="Times New Roman" w:hAnsi="Times New Roman"/>
          <w:sz w:val="28"/>
          <w:szCs w:val="28"/>
          <w:lang w:val="uk-UA"/>
        </w:rPr>
        <w:t xml:space="preserve">Текст: </w:t>
      </w:r>
      <w:hyperlink r:id="rId19" w:history="1">
        <w:r w:rsidRPr="00B92736">
          <w:rPr>
            <w:rStyle w:val="a3"/>
            <w:rFonts w:ascii="Times New Roman" w:hAnsi="Times New Roman"/>
            <w:sz w:val="28"/>
            <w:szCs w:val="28"/>
            <w:lang w:val="uk-UA"/>
          </w:rPr>
          <w:t>https://visnyk-juris-uzhnu.com/wp-content/uploads/2026/03/15-2.pdf</w:t>
        </w:r>
      </w:hyperlink>
      <w:r w:rsidRPr="00B92736">
        <w:rPr>
          <w:rFonts w:ascii="Times New Roman" w:hAnsi="Times New Roman"/>
          <w:sz w:val="28"/>
          <w:szCs w:val="28"/>
          <w:lang w:val="uk-UA"/>
        </w:rPr>
        <w:t xml:space="preserve"> </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lang w:val="uk-UA"/>
        </w:rPr>
        <w:t xml:space="preserve">Збірник матеріалів </w:t>
      </w:r>
      <w:r w:rsidRPr="00B92736">
        <w:rPr>
          <w:rFonts w:ascii="Times New Roman" w:hAnsi="Times New Roman"/>
          <w:b/>
          <w:bCs/>
          <w:sz w:val="28"/>
          <w:szCs w:val="28"/>
        </w:rPr>
        <w:t>III</w:t>
      </w:r>
      <w:r w:rsidRPr="00B92736">
        <w:rPr>
          <w:rFonts w:ascii="Times New Roman" w:hAnsi="Times New Roman"/>
          <w:b/>
          <w:bCs/>
          <w:sz w:val="28"/>
          <w:szCs w:val="28"/>
          <w:lang w:val="uk-UA"/>
        </w:rPr>
        <w:t xml:space="preserve"> Міжнародної науково-практичної конференції «Науковий вимір осмислення та пошуку шляхів розвитку України: маркетинговий, економічний, фінансовий, управлінський та правовий аспекти»,  (10 березня 2026 року, м. Київ, Україна)</w:t>
      </w:r>
      <w:r w:rsidRPr="00B92736">
        <w:rPr>
          <w:rFonts w:ascii="Times New Roman" w:hAnsi="Times New Roman"/>
          <w:sz w:val="28"/>
          <w:szCs w:val="28"/>
          <w:lang w:val="uk-UA"/>
        </w:rPr>
        <w:t xml:space="preserve"> / [за заг. ред.: Н. В. Писаренко, В. Б. Сухомлина]. — Київ : [б. в.], 2026 (Віддрук. ФО-П Шпак В. Б.). — 569 с. </w:t>
      </w:r>
      <w:r w:rsidRPr="00B92736">
        <w:rPr>
          <w:rFonts w:ascii="Times New Roman" w:hAnsi="Times New Roman"/>
          <w:b/>
          <w:bCs/>
          <w:i/>
          <w:iCs/>
          <w:sz w:val="28"/>
          <w:szCs w:val="28"/>
          <w:lang w:val="uk-UA"/>
        </w:rPr>
        <w:t>Шифр зберігання в Бібліотеці:</w:t>
      </w:r>
      <w:r w:rsidRPr="00B92736">
        <w:rPr>
          <w:rFonts w:ascii="Times New Roman" w:hAnsi="Times New Roman"/>
          <w:sz w:val="28"/>
          <w:szCs w:val="28"/>
          <w:lang w:val="uk-UA"/>
        </w:rPr>
        <w:t xml:space="preserve"> </w:t>
      </w:r>
      <w:r w:rsidRPr="00B92736">
        <w:rPr>
          <w:rFonts w:ascii="Times New Roman" w:hAnsi="Times New Roman"/>
          <w:b/>
          <w:bCs/>
          <w:i/>
          <w:iCs/>
          <w:sz w:val="28"/>
          <w:szCs w:val="28"/>
          <w:lang w:val="uk-UA"/>
        </w:rPr>
        <w:t xml:space="preserve">А846952 </w:t>
      </w:r>
      <w:r w:rsidRPr="00B92736">
        <w:rPr>
          <w:rFonts w:ascii="Times New Roman" w:hAnsi="Times New Roman"/>
          <w:i/>
          <w:iCs/>
          <w:sz w:val="28"/>
          <w:szCs w:val="28"/>
          <w:lang w:val="uk-UA"/>
        </w:rPr>
        <w:t>Зі змісту: Управління соціально-економічним розвитком міст в контексті національної безпеки / В. Черняк, А. Чубіна, Н. Зачосова. – С. 341-342; Стратегічне планування розвитку сільських регіонів через агротуризм / К. Харитонов.- С. 410-411; Стратегування закладів вищої освіти в умовах воєнної та післявоєнної трансформації з інтеграцією до стратегій розвитку територіальних громад / В. Гуляєв, І. Ткаченко, А. Сербін, І. Смірнов. – С. 440-442; Значення місцевого самоврядування у функціонуванні туристичної галузі / Б. Луговий. – С. 461-463.</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rPr>
      </w:pPr>
      <w:r w:rsidRPr="00B92736">
        <w:rPr>
          <w:rFonts w:ascii="Times New Roman" w:hAnsi="Times New Roman"/>
          <w:b/>
          <w:bCs/>
          <w:sz w:val="28"/>
          <w:szCs w:val="28"/>
          <w:lang w:val="uk-UA"/>
        </w:rPr>
        <w:t xml:space="preserve">Карпатська ініціатива: довкілля, безпека, економіка та інвестиції </w:t>
      </w:r>
      <w:r w:rsidRPr="00B92736">
        <w:rPr>
          <w:rFonts w:ascii="Times New Roman" w:hAnsi="Times New Roman"/>
          <w:sz w:val="28"/>
          <w:szCs w:val="28"/>
          <w:lang w:val="uk-UA"/>
        </w:rPr>
        <w:t xml:space="preserve">[Електронний ресурс] // Уряд. кур’єр. – 2026. – 15 </w:t>
      </w:r>
      <w:r w:rsidRPr="00B92736">
        <w:rPr>
          <w:rFonts w:ascii="Times New Roman" w:hAnsi="Times New Roman"/>
          <w:sz w:val="28"/>
          <w:szCs w:val="28"/>
          <w:lang w:val="en-US"/>
        </w:rPr>
        <w:t>c</w:t>
      </w:r>
      <w:r w:rsidRPr="00B92736">
        <w:rPr>
          <w:rFonts w:ascii="Times New Roman" w:hAnsi="Times New Roman"/>
          <w:sz w:val="28"/>
          <w:szCs w:val="28"/>
          <w:lang w:val="uk-UA"/>
        </w:rPr>
        <w:t xml:space="preserve">ерп. [№ 170]. – Електрон. дані. </w:t>
      </w:r>
      <w:r w:rsidRPr="00B92736">
        <w:rPr>
          <w:rFonts w:ascii="Times New Roman" w:hAnsi="Times New Roman"/>
          <w:i/>
          <w:iCs/>
          <w:sz w:val="28"/>
          <w:szCs w:val="28"/>
          <w:lang w:val="uk-UA"/>
        </w:rPr>
        <w:t>Подано інформацію, що на майданчику Конгресу місцевих та регіональних влад Президент України Володимир Зеленський зустрівся із представниками всіх територіальних громад Івано</w:t>
      </w:r>
      <w:r w:rsidRPr="00B92736">
        <w:rPr>
          <w:rFonts w:ascii="Times New Roman" w:hAnsi="Times New Roman"/>
          <w:i/>
          <w:iCs/>
          <w:sz w:val="28"/>
          <w:szCs w:val="28"/>
          <w:lang w:val="uk-UA"/>
        </w:rPr>
        <w:softHyphen/>
        <w:t>Франківської, Львівської, Чернівецької та Закарпатської областей, щоб обговорити питання, які потребують оперативного вирішення. У режимі відеоконференції до зустрічі долучилися: Прем’єр</w:t>
      </w:r>
      <w:r w:rsidRPr="00B92736">
        <w:rPr>
          <w:rFonts w:ascii="Times New Roman" w:hAnsi="Times New Roman"/>
          <w:i/>
          <w:iCs/>
          <w:sz w:val="28"/>
          <w:szCs w:val="28"/>
          <w:lang w:val="uk-UA"/>
        </w:rPr>
        <w:softHyphen/>
        <w:t>міністр України Сергій Корецький, міністр з відновлення, інфраструктури та транспорту Микола Калашник, міністр фінансів Сергій Марченко, міністр економіки та довкілля Олександр Кравченко, міністр освіти і науки Андрій Бутенко, міністр охорони здоров’я Віктор Ляшко, міністр аграрної політики та продовольства Тарас Висоцький. На саміті будуть понад 500 представників бізнесу з різних країн. Саме тому, за словами Президента, важливо вже зараз готуватися до заходу і працювати над залученням інвестицій під час нього. Потрібно, щоб і голови громад теж долучилися до підготовки та запрошували на саміт представників місцевих влад з інших країн. За словами В.Зеленського, на саміті заплановано підписання договорів, домовленостей про інвестиції та обмін досвідом з питань безпеки, захисту енергетики, продовольчої безпеки, який партнери хочуть вивчати в Україні.</w:t>
      </w:r>
      <w:r w:rsidRPr="00B92736">
        <w:rPr>
          <w:rFonts w:ascii="Times New Roman" w:hAnsi="Times New Roman"/>
          <w:sz w:val="28"/>
          <w:szCs w:val="28"/>
          <w:lang w:val="uk-UA"/>
        </w:rPr>
        <w:t xml:space="preserve"> </w:t>
      </w:r>
      <w:r w:rsidRPr="00B92736">
        <w:rPr>
          <w:rFonts w:ascii="Times New Roman" w:hAnsi="Times New Roman"/>
          <w:i/>
          <w:iCs/>
          <w:sz w:val="28"/>
          <w:szCs w:val="28"/>
        </w:rPr>
        <w:t>Також ішлося про розбудову дорожньої інфраструктури й фінансування, забезпечення громад високопрохідними автобусами та медичним транспортом, доступність шкільної освіти. Президент доручив Прем’єр</w:t>
      </w:r>
      <w:r w:rsidRPr="00B92736">
        <w:rPr>
          <w:rFonts w:ascii="Times New Roman" w:hAnsi="Times New Roman"/>
          <w:i/>
          <w:iCs/>
          <w:sz w:val="28"/>
          <w:szCs w:val="28"/>
        </w:rPr>
        <w:softHyphen/>
        <w:t xml:space="preserve">міністрові, міністрам фінансів, розвитку громад та інфраструктури розібрати з громадами спроможності місцевих бюджетів і провести логістичний аудит, щоб державні послуги та інституції були доступні кожній людині в Україні, зокрема у віддалених гірських регіонах. </w:t>
      </w:r>
      <w:r w:rsidRPr="00B92736">
        <w:rPr>
          <w:rFonts w:ascii="Times New Roman" w:hAnsi="Times New Roman"/>
          <w:sz w:val="28"/>
          <w:szCs w:val="28"/>
          <w:lang w:val="uk-UA"/>
        </w:rPr>
        <w:t xml:space="preserve">Текст: </w:t>
      </w:r>
      <w:hyperlink r:id="rId20" w:tgtFrame="_blank" w:history="1">
        <w:r w:rsidRPr="00B92736">
          <w:rPr>
            <w:rStyle w:val="a3"/>
            <w:rFonts w:ascii="Times New Roman" w:hAnsi="Times New Roman"/>
            <w:sz w:val="28"/>
            <w:szCs w:val="28"/>
          </w:rPr>
          <w:t>https://ukurier.gov.ua/uk/articles/karpatska-iniciativa-dovkillya-bezpeka-ekonomika-t/</w:t>
        </w:r>
      </w:hyperlink>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rPr>
      </w:pPr>
      <w:r w:rsidRPr="00B92736">
        <w:rPr>
          <w:rFonts w:ascii="Times New Roman" w:hAnsi="Times New Roman"/>
          <w:b/>
          <w:bCs/>
          <w:sz w:val="28"/>
          <w:szCs w:val="28"/>
        </w:rPr>
        <w:t>Катишев К. Президент підписав указ про встановлення пам’ятника Мазепі в Києві</w:t>
      </w:r>
      <w:r w:rsidRPr="00B92736">
        <w:rPr>
          <w:rFonts w:ascii="Times New Roman" w:hAnsi="Times New Roman"/>
          <w:sz w:val="28"/>
          <w:szCs w:val="28"/>
        </w:rPr>
        <w:t xml:space="preserve"> [Електронний ресурс] / Костянтин Катишев // </w:t>
      </w:r>
      <w:proofErr w:type="gramStart"/>
      <w:r w:rsidRPr="00B92736">
        <w:rPr>
          <w:rFonts w:ascii="Times New Roman" w:hAnsi="Times New Roman"/>
          <w:sz w:val="28"/>
          <w:szCs w:val="28"/>
        </w:rPr>
        <w:t>Korrespondent.net :</w:t>
      </w:r>
      <w:proofErr w:type="gramEnd"/>
      <w:r w:rsidRPr="00B92736">
        <w:rPr>
          <w:rFonts w:ascii="Times New Roman" w:hAnsi="Times New Roman"/>
          <w:sz w:val="28"/>
          <w:szCs w:val="28"/>
        </w:rPr>
        <w:t xml:space="preserve"> [вебсайт]. – 2026. – 22 серп. — Електрон. дані. </w:t>
      </w:r>
      <w:r w:rsidRPr="00B92736">
        <w:rPr>
          <w:rFonts w:ascii="Times New Roman" w:hAnsi="Times New Roman"/>
          <w:i/>
          <w:iCs/>
          <w:sz w:val="28"/>
          <w:szCs w:val="28"/>
        </w:rPr>
        <w:t>Вказано, що Володимир Зеленський своїм указом зобов'язав Кабінет Міністрів України (КМ України) забезпечити організацію проведення відкритого конкурсу та вжити всіх необхідних заходів зі встановлення пам’ятника гетьману Івану Мазепі. За результатами конкурсу потрібно забезпечити його проєктування та виготовлення. Крім того, уряд разом із Київською міською державною адміністрацією (КМДА) мають вирішити питання щодо облаштування простору, місця, де буде встановлено пам’ятник, його органічного поєднання з міською архітектурою. Нагадано, що у День Конституції України, Президент анонсував встановлення повноцінного пам’ятника Мазепі у центрі Києва: «Я вважаю, що для нього є ідеальне місце. Воно існує з грудня 2013 року на бульварі Шевченка у Києві. Я впевнений, що там, де Ленін впав, міцно стоятиме Мазепа».</w:t>
      </w:r>
      <w:r w:rsidRPr="00B92736">
        <w:rPr>
          <w:rFonts w:ascii="Times New Roman" w:hAnsi="Times New Roman"/>
          <w:sz w:val="28"/>
          <w:szCs w:val="28"/>
        </w:rPr>
        <w:t xml:space="preserve"> Текст: </w:t>
      </w:r>
      <w:hyperlink r:id="rId21" w:tgtFrame="_blank" w:history="1">
        <w:r w:rsidRPr="00B92736">
          <w:rPr>
            <w:rStyle w:val="a3"/>
            <w:rFonts w:ascii="Times New Roman" w:hAnsi="Times New Roman"/>
            <w:sz w:val="28"/>
            <w:szCs w:val="28"/>
            <w:lang w:val="uk-UA"/>
          </w:rPr>
          <w:t>https://ua.korrespondent.net/ukraine/4905247-prezydent-pidpysav-ukaz-pro-vstanovlennia-pamiatnyka-mazepi-v-kyievi</w:t>
        </w:r>
      </w:hyperlink>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lang w:val="uk-UA"/>
        </w:rPr>
        <w:t>Кірін Р. С. Актуальні проблеми урбаністичного права: відкритість, цифровізація, резільєнтність</w:t>
      </w:r>
      <w:r w:rsidRPr="00B92736">
        <w:rPr>
          <w:rFonts w:ascii="Times New Roman" w:hAnsi="Times New Roman"/>
          <w:sz w:val="28"/>
          <w:szCs w:val="28"/>
          <w:lang w:val="uk-UA"/>
        </w:rPr>
        <w:t xml:space="preserve"> / Р. С. Кірін ; НАН України, Держ. установа ”Ін-т екон.-прав. дослідж. ім. В. К. Мамутова”. — Київ ; Дніпро : Журфонд, 2026. — 609 с. : табл. </w:t>
      </w:r>
      <w:r w:rsidRPr="00B92736">
        <w:rPr>
          <w:rFonts w:ascii="Times New Roman" w:hAnsi="Times New Roman"/>
          <w:b/>
          <w:bCs/>
          <w:i/>
          <w:iCs/>
          <w:sz w:val="28"/>
          <w:szCs w:val="28"/>
          <w:lang w:val="uk-UA"/>
        </w:rPr>
        <w:t>Шифр зберігання в Бібліотеці: Б379274</w:t>
      </w:r>
      <w:r w:rsidRPr="00B92736">
        <w:rPr>
          <w:rFonts w:ascii="Times New Roman" w:hAnsi="Times New Roman"/>
          <w:sz w:val="28"/>
          <w:szCs w:val="28"/>
          <w:lang w:val="uk-UA"/>
        </w:rPr>
        <w:t xml:space="preserve"> </w:t>
      </w:r>
      <w:r w:rsidRPr="00B92736">
        <w:rPr>
          <w:rFonts w:ascii="Times New Roman" w:hAnsi="Times New Roman"/>
          <w:i/>
          <w:iCs/>
          <w:sz w:val="28"/>
          <w:szCs w:val="28"/>
          <w:lang w:val="uk-UA"/>
        </w:rPr>
        <w:t>Розкрито загально-правові проблеми забезпечення відкритості міста, а також історико-правові засади формування відкритості та цифровізації міст. Проаналізовано еколого-правові проблеми сталого розвитку міст і регіонів та експертно-правові відносини у сфері визначення і відшкодування мілітарно-екологічної шкоди. Розглянуто актуальні проблеми екологічної експертизи в умовах збройної агресії. Висвітлено актуальні проблеми розвитку права е-демократії та е-урядування, а також урбаністичних відносин у сфері відкритості та резільєнтності міст. Увагу приділено регулюванню інформаційних відносин у сфері цивільного захисту в умовах відкритості міста.</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lang w:val="uk-UA"/>
        </w:rPr>
        <w:t>Кляцький В. В. Відновлення місцевого самоврядування в Литовській Республіці: основні проблеми та їх вирішення</w:t>
      </w:r>
      <w:r w:rsidRPr="00B92736">
        <w:rPr>
          <w:rFonts w:ascii="Times New Roman" w:hAnsi="Times New Roman"/>
          <w:sz w:val="28"/>
          <w:szCs w:val="28"/>
          <w:lang w:val="uk-UA"/>
        </w:rPr>
        <w:t xml:space="preserve"> [Електронний ресурс] / В. В. Кляцький  // Наук. вісн. Ужгород. нац. ун-ту. Серія : Право : зб. наук. пр.  – Ужгород, 2026. – №</w:t>
      </w:r>
      <w:r w:rsidRPr="00B92736">
        <w:rPr>
          <w:rFonts w:ascii="Times New Roman" w:hAnsi="Times New Roman"/>
          <w:sz w:val="28"/>
          <w:szCs w:val="28"/>
        </w:rPr>
        <w:t xml:space="preserve"> </w:t>
      </w:r>
      <w:r w:rsidRPr="00B92736">
        <w:rPr>
          <w:rFonts w:ascii="Times New Roman" w:hAnsi="Times New Roman"/>
          <w:sz w:val="28"/>
          <w:szCs w:val="28"/>
          <w:lang w:val="uk-UA"/>
        </w:rPr>
        <w:t>94, т. 1. – С.</w:t>
      </w:r>
      <w:r w:rsidRPr="00B92736">
        <w:rPr>
          <w:rFonts w:ascii="Times New Roman" w:hAnsi="Times New Roman"/>
          <w:sz w:val="28"/>
          <w:szCs w:val="28"/>
        </w:rPr>
        <w:t xml:space="preserve"> </w:t>
      </w:r>
      <w:r w:rsidRPr="00B92736">
        <w:rPr>
          <w:rFonts w:ascii="Times New Roman" w:hAnsi="Times New Roman"/>
          <w:sz w:val="28"/>
          <w:szCs w:val="28"/>
          <w:lang w:val="uk-UA"/>
        </w:rPr>
        <w:t xml:space="preserve">153-161. </w:t>
      </w:r>
      <w:r w:rsidRPr="00B92736">
        <w:rPr>
          <w:rFonts w:ascii="Times New Roman" w:hAnsi="Times New Roman"/>
          <w:i/>
          <w:iCs/>
          <w:sz w:val="28"/>
          <w:szCs w:val="28"/>
          <w:lang w:val="uk-UA"/>
        </w:rPr>
        <w:t xml:space="preserve">Досліджено процес відновлення місцевого самоврядування Литовської Республіки в перші етапи муніципальної реформи (1990 - 2005 рр.) та проаналізовано основні проблеми, що супроводжували децентралізаційні перетворення. На основі аналізу законодавства, наукових підходів і практичного досвіду Литви визначено чинники успішної європейської інтеграції, а також окреслено виклики, пов'язані з подоланням пострадянської спадщини, фінансовою спроможністю муніципалітетів і розподілом повноважень. Обґрунтовано значення послідовного впровадження реформ, розвитку партисипативної демократії та міжнародної підтримки для становлення ефективного місцевого самоврядування. </w:t>
      </w:r>
      <w:r w:rsidR="006835F4">
        <w:rPr>
          <w:rFonts w:ascii="Times New Roman" w:hAnsi="Times New Roman"/>
          <w:i/>
          <w:iCs/>
          <w:sz w:val="28"/>
          <w:szCs w:val="28"/>
          <w:lang w:val="uk-UA"/>
        </w:rPr>
        <w:t xml:space="preserve">              </w:t>
      </w:r>
      <w:r w:rsidRPr="00B92736">
        <w:rPr>
          <w:rFonts w:ascii="Times New Roman" w:hAnsi="Times New Roman"/>
          <w:sz w:val="28"/>
          <w:szCs w:val="28"/>
          <w:lang w:val="uk-UA"/>
        </w:rPr>
        <w:t xml:space="preserve">Текст: </w:t>
      </w:r>
      <w:hyperlink r:id="rId22" w:history="1">
        <w:r w:rsidRPr="00B92736">
          <w:rPr>
            <w:rStyle w:val="a3"/>
            <w:rFonts w:ascii="Times New Roman" w:hAnsi="Times New Roman"/>
            <w:sz w:val="28"/>
            <w:szCs w:val="28"/>
            <w:lang w:val="uk-UA"/>
          </w:rPr>
          <w:t>https://visnyk-juris-uzhnu.com/wp-content/uploads/2026/05/22.pdf</w:t>
        </w:r>
      </w:hyperlink>
      <w:r w:rsidRPr="00B92736">
        <w:rPr>
          <w:rFonts w:ascii="Times New Roman" w:hAnsi="Times New Roman"/>
          <w:sz w:val="28"/>
          <w:szCs w:val="28"/>
          <w:lang w:val="uk-UA"/>
        </w:rPr>
        <w:t xml:space="preserve"> </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lang w:val="uk-UA"/>
        </w:rPr>
        <w:t>Ковальський В. В. Система органів соціального захисту військовослужбовців: загальна характеристика структури та взаємозв’язків</w:t>
      </w:r>
      <w:r w:rsidRPr="00B92736">
        <w:rPr>
          <w:rFonts w:ascii="Times New Roman" w:hAnsi="Times New Roman"/>
          <w:sz w:val="28"/>
          <w:szCs w:val="28"/>
          <w:lang w:val="uk-UA"/>
        </w:rPr>
        <w:t xml:space="preserve"> [Електронний ресурс] / В. В. Ковальський // Наук. вісн. Ужгород. нац. ун-ту. Серія : Право : зб. наук. пр.  – Ужгород, 2026. – №</w:t>
      </w:r>
      <w:r w:rsidRPr="00B92736">
        <w:rPr>
          <w:rFonts w:ascii="Times New Roman" w:hAnsi="Times New Roman"/>
          <w:sz w:val="28"/>
          <w:szCs w:val="28"/>
        </w:rPr>
        <w:t xml:space="preserve"> </w:t>
      </w:r>
      <w:r w:rsidRPr="00B92736">
        <w:rPr>
          <w:rFonts w:ascii="Times New Roman" w:hAnsi="Times New Roman"/>
          <w:sz w:val="28"/>
          <w:szCs w:val="28"/>
          <w:lang w:val="uk-UA"/>
        </w:rPr>
        <w:t>94, т. 2. – С.</w:t>
      </w:r>
      <w:r w:rsidRPr="00B92736">
        <w:rPr>
          <w:rFonts w:ascii="Times New Roman" w:hAnsi="Times New Roman"/>
          <w:sz w:val="28"/>
          <w:szCs w:val="28"/>
        </w:rPr>
        <w:t xml:space="preserve"> </w:t>
      </w:r>
      <w:r w:rsidRPr="00B92736">
        <w:rPr>
          <w:rFonts w:ascii="Times New Roman" w:hAnsi="Times New Roman"/>
          <w:sz w:val="28"/>
          <w:szCs w:val="28"/>
          <w:lang w:val="uk-UA"/>
        </w:rPr>
        <w:t xml:space="preserve">153-159. </w:t>
      </w:r>
      <w:r w:rsidRPr="00B92736">
        <w:rPr>
          <w:rFonts w:ascii="Times New Roman" w:hAnsi="Times New Roman"/>
          <w:i/>
          <w:iCs/>
          <w:sz w:val="28"/>
          <w:szCs w:val="28"/>
          <w:lang w:val="uk-UA"/>
        </w:rPr>
        <w:t>Досліджено особливості розподілу повноважень між органами соціального захисту військовослужбовців залежно від наявності статусу ветерана війни та відомчої належності особи. Встановлено, що центральну роль у системі соціального захисту ветеранів війни відіграє Міністерство у справах ветеранів України, яке здійснює координаційні, методичні та контрольно-наглядові функції, а також бере участь у реалізації окремих заходів соціального захисту. Проаналізовано взаємодію центральних органів виконавчої влади, органів місцевого самоврядування (ОМС), військових формувань і правоохоронних органів у забезпеченні медичного, житлового та матеріального забезпечення військовослужбовців. Обґрунтовано необхідність удосконалення нормативного регулювання шляхом конкретизації повноважень і відповідальності суб’єктів соціального захисту, що сприятиме підвищенню ефективності реалізації соціальних гарантій військовослужбовців.</w:t>
      </w:r>
      <w:r w:rsidRPr="00B92736">
        <w:rPr>
          <w:rFonts w:ascii="Times New Roman" w:hAnsi="Times New Roman"/>
          <w:sz w:val="28"/>
          <w:szCs w:val="28"/>
          <w:lang w:val="uk-UA"/>
        </w:rPr>
        <w:t xml:space="preserve"> Текст: </w:t>
      </w:r>
      <w:hyperlink r:id="rId23" w:history="1">
        <w:r w:rsidRPr="00B92736">
          <w:rPr>
            <w:rStyle w:val="a3"/>
            <w:rFonts w:ascii="Times New Roman" w:hAnsi="Times New Roman"/>
            <w:sz w:val="28"/>
            <w:szCs w:val="28"/>
            <w:lang w:val="uk-UA"/>
          </w:rPr>
          <w:t>https://visnyk-juris-uzhnu.com/wp-content/uploads/2026/05/23-1.pdf</w:t>
        </w:r>
      </w:hyperlink>
      <w:r w:rsidRPr="00B92736">
        <w:rPr>
          <w:rFonts w:ascii="Times New Roman" w:hAnsi="Times New Roman"/>
          <w:sz w:val="28"/>
          <w:szCs w:val="28"/>
          <w:lang w:val="uk-UA"/>
        </w:rPr>
        <w:t xml:space="preserve"> </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rPr>
        <w:t xml:space="preserve">Конкретна підтримка прифронтових громад </w:t>
      </w:r>
      <w:r w:rsidRPr="00B92736">
        <w:rPr>
          <w:rFonts w:ascii="Times New Roman" w:hAnsi="Times New Roman"/>
          <w:sz w:val="28"/>
          <w:szCs w:val="28"/>
          <w:lang w:val="uk-UA"/>
        </w:rPr>
        <w:t xml:space="preserve">[Електронний ресурс] // Уряд. кур’єр. – 2026. – 15 </w:t>
      </w:r>
      <w:r w:rsidRPr="00B92736">
        <w:rPr>
          <w:rFonts w:ascii="Times New Roman" w:hAnsi="Times New Roman"/>
          <w:sz w:val="28"/>
          <w:szCs w:val="28"/>
          <w:lang w:val="en-US"/>
        </w:rPr>
        <w:t>c</w:t>
      </w:r>
      <w:r w:rsidRPr="00B92736">
        <w:rPr>
          <w:rFonts w:ascii="Times New Roman" w:hAnsi="Times New Roman"/>
          <w:sz w:val="28"/>
          <w:szCs w:val="28"/>
          <w:lang w:val="uk-UA"/>
        </w:rPr>
        <w:t xml:space="preserve">ерп. [№ 170]. – Електрон. дані. </w:t>
      </w:r>
      <w:r w:rsidRPr="00B92736">
        <w:rPr>
          <w:rFonts w:ascii="Times New Roman" w:hAnsi="Times New Roman"/>
          <w:i/>
          <w:iCs/>
          <w:sz w:val="28"/>
          <w:szCs w:val="28"/>
          <w:lang w:val="uk-UA"/>
        </w:rPr>
        <w:t>Повідомлено, що Кабінет Міністрів України (КМ України) спрямував 2,3 млрд грн на підтримку прифронтових громад. Дотації розподілено між обласними бюджетами та бюджетами 179 територіальних громад прифронтових регіонів. «Це конкретна підтримка людей, які працюють у надзвичайно складних умовах: освітян, медиків, соціальних працівників», — зазначив Прем’єр</w:t>
      </w:r>
      <w:r w:rsidRPr="00B92736">
        <w:rPr>
          <w:rFonts w:ascii="Times New Roman" w:hAnsi="Times New Roman"/>
          <w:i/>
          <w:iCs/>
          <w:sz w:val="28"/>
          <w:szCs w:val="28"/>
          <w:lang w:val="uk-UA"/>
        </w:rPr>
        <w:softHyphen/>
        <w:t xml:space="preserve">міністр України Сергій Корецький. Кошти розподілено між 179 бюджетами територіальних громад та п’ятьма обласними бюджетами. Зокрема, додаткову дотацію отримають: Дніпропетровська область — 314,8 млн грн (20 бюджетів); Донецька — 409,6 млн грн (28 бюджетів); Запорізька — 520,1 млн грн (24 бюджети); Луганська — 6,1 млн грн (чотири бюджети); Миколаївська — 12,3 млн грн (дев’ять бюджетів); Одеська — 104,1 млн грн (19 бюджетів); Сумська — 206,8 млн грн (24 бюджети); Харківська — 627,2 млн грн (34 бюджети); Херсонська — 39,1 млн грн (17 бюджетів); Чернігівська область — 33,5 млн грн (п’ять бюджетів). </w:t>
      </w:r>
      <w:r w:rsidRPr="00B92736">
        <w:rPr>
          <w:rFonts w:ascii="Times New Roman" w:hAnsi="Times New Roman"/>
          <w:sz w:val="28"/>
          <w:szCs w:val="28"/>
          <w:lang w:val="uk-UA"/>
        </w:rPr>
        <w:t xml:space="preserve">Текст: </w:t>
      </w:r>
      <w:hyperlink r:id="rId24" w:tgtFrame="_blank" w:history="1">
        <w:r w:rsidRPr="00B92736">
          <w:rPr>
            <w:rStyle w:val="a3"/>
            <w:rFonts w:ascii="Times New Roman" w:hAnsi="Times New Roman"/>
            <w:sz w:val="28"/>
            <w:szCs w:val="28"/>
          </w:rPr>
          <w:t>https</w:t>
        </w:r>
        <w:r w:rsidRPr="00B92736">
          <w:rPr>
            <w:rStyle w:val="a3"/>
            <w:rFonts w:ascii="Times New Roman" w:hAnsi="Times New Roman"/>
            <w:sz w:val="28"/>
            <w:szCs w:val="28"/>
            <w:lang w:val="uk-UA"/>
          </w:rPr>
          <w:t>://</w:t>
        </w:r>
        <w:r w:rsidRPr="00B92736">
          <w:rPr>
            <w:rStyle w:val="a3"/>
            <w:rFonts w:ascii="Times New Roman" w:hAnsi="Times New Roman"/>
            <w:sz w:val="28"/>
            <w:szCs w:val="28"/>
          </w:rPr>
          <w:t>ukurier</w:t>
        </w:r>
        <w:r w:rsidRPr="00B92736">
          <w:rPr>
            <w:rStyle w:val="a3"/>
            <w:rFonts w:ascii="Times New Roman" w:hAnsi="Times New Roman"/>
            <w:sz w:val="28"/>
            <w:szCs w:val="28"/>
            <w:lang w:val="uk-UA"/>
          </w:rPr>
          <w:t>.</w:t>
        </w:r>
        <w:r w:rsidRPr="00B92736">
          <w:rPr>
            <w:rStyle w:val="a3"/>
            <w:rFonts w:ascii="Times New Roman" w:hAnsi="Times New Roman"/>
            <w:sz w:val="28"/>
            <w:szCs w:val="28"/>
          </w:rPr>
          <w:t>gov</w:t>
        </w:r>
        <w:r w:rsidRPr="00B92736">
          <w:rPr>
            <w:rStyle w:val="a3"/>
            <w:rFonts w:ascii="Times New Roman" w:hAnsi="Times New Roman"/>
            <w:sz w:val="28"/>
            <w:szCs w:val="28"/>
            <w:lang w:val="uk-UA"/>
          </w:rPr>
          <w:t>.</w:t>
        </w:r>
        <w:r w:rsidRPr="00B92736">
          <w:rPr>
            <w:rStyle w:val="a3"/>
            <w:rFonts w:ascii="Times New Roman" w:hAnsi="Times New Roman"/>
            <w:sz w:val="28"/>
            <w:szCs w:val="28"/>
          </w:rPr>
          <w:t>ua</w:t>
        </w:r>
        <w:r w:rsidRPr="00B92736">
          <w:rPr>
            <w:rStyle w:val="a3"/>
            <w:rFonts w:ascii="Times New Roman" w:hAnsi="Times New Roman"/>
            <w:sz w:val="28"/>
            <w:szCs w:val="28"/>
            <w:lang w:val="uk-UA"/>
          </w:rPr>
          <w:t>/</w:t>
        </w:r>
        <w:r w:rsidRPr="00B92736">
          <w:rPr>
            <w:rStyle w:val="a3"/>
            <w:rFonts w:ascii="Times New Roman" w:hAnsi="Times New Roman"/>
            <w:sz w:val="28"/>
            <w:szCs w:val="28"/>
          </w:rPr>
          <w:t>uk</w:t>
        </w:r>
        <w:r w:rsidRPr="00B92736">
          <w:rPr>
            <w:rStyle w:val="a3"/>
            <w:rFonts w:ascii="Times New Roman" w:hAnsi="Times New Roman"/>
            <w:sz w:val="28"/>
            <w:szCs w:val="28"/>
            <w:lang w:val="uk-UA"/>
          </w:rPr>
          <w:t>/</w:t>
        </w:r>
        <w:r w:rsidRPr="00B92736">
          <w:rPr>
            <w:rStyle w:val="a3"/>
            <w:rFonts w:ascii="Times New Roman" w:hAnsi="Times New Roman"/>
            <w:sz w:val="28"/>
            <w:szCs w:val="28"/>
          </w:rPr>
          <w:t>articles</w:t>
        </w:r>
        <w:r w:rsidRPr="00B92736">
          <w:rPr>
            <w:rStyle w:val="a3"/>
            <w:rFonts w:ascii="Times New Roman" w:hAnsi="Times New Roman"/>
            <w:sz w:val="28"/>
            <w:szCs w:val="28"/>
            <w:lang w:val="uk-UA"/>
          </w:rPr>
          <w:t>/</w:t>
        </w:r>
        <w:r w:rsidRPr="00B92736">
          <w:rPr>
            <w:rStyle w:val="a3"/>
            <w:rFonts w:ascii="Times New Roman" w:hAnsi="Times New Roman"/>
            <w:sz w:val="28"/>
            <w:szCs w:val="28"/>
          </w:rPr>
          <w:t>konkretna</w:t>
        </w:r>
        <w:r w:rsidRPr="00B92736">
          <w:rPr>
            <w:rStyle w:val="a3"/>
            <w:rFonts w:ascii="Times New Roman" w:hAnsi="Times New Roman"/>
            <w:sz w:val="28"/>
            <w:szCs w:val="28"/>
            <w:lang w:val="uk-UA"/>
          </w:rPr>
          <w:t>-</w:t>
        </w:r>
        <w:r w:rsidRPr="00B92736">
          <w:rPr>
            <w:rStyle w:val="a3"/>
            <w:rFonts w:ascii="Times New Roman" w:hAnsi="Times New Roman"/>
            <w:sz w:val="28"/>
            <w:szCs w:val="28"/>
          </w:rPr>
          <w:t>pidtrimka</w:t>
        </w:r>
        <w:r w:rsidRPr="00B92736">
          <w:rPr>
            <w:rStyle w:val="a3"/>
            <w:rFonts w:ascii="Times New Roman" w:hAnsi="Times New Roman"/>
            <w:sz w:val="28"/>
            <w:szCs w:val="28"/>
            <w:lang w:val="uk-UA"/>
          </w:rPr>
          <w:t>-</w:t>
        </w:r>
        <w:r w:rsidRPr="00B92736">
          <w:rPr>
            <w:rStyle w:val="a3"/>
            <w:rFonts w:ascii="Times New Roman" w:hAnsi="Times New Roman"/>
            <w:sz w:val="28"/>
            <w:szCs w:val="28"/>
          </w:rPr>
          <w:t>prifrontovih</w:t>
        </w:r>
        <w:r w:rsidRPr="00B92736">
          <w:rPr>
            <w:rStyle w:val="a3"/>
            <w:rFonts w:ascii="Times New Roman" w:hAnsi="Times New Roman"/>
            <w:sz w:val="28"/>
            <w:szCs w:val="28"/>
            <w:lang w:val="uk-UA"/>
          </w:rPr>
          <w:t>-</w:t>
        </w:r>
        <w:r w:rsidRPr="00B92736">
          <w:rPr>
            <w:rStyle w:val="a3"/>
            <w:rFonts w:ascii="Times New Roman" w:hAnsi="Times New Roman"/>
            <w:sz w:val="28"/>
            <w:szCs w:val="28"/>
          </w:rPr>
          <w:t>gromad</w:t>
        </w:r>
        <w:r w:rsidRPr="00B92736">
          <w:rPr>
            <w:rStyle w:val="a3"/>
            <w:rFonts w:ascii="Times New Roman" w:hAnsi="Times New Roman"/>
            <w:sz w:val="28"/>
            <w:szCs w:val="28"/>
            <w:lang w:val="uk-UA"/>
          </w:rPr>
          <w:t>/</w:t>
        </w:r>
      </w:hyperlink>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lang w:val="uk-UA"/>
        </w:rPr>
        <w:t>Кравченко Т. А.</w:t>
      </w:r>
      <w:r w:rsidRPr="00B92736">
        <w:rPr>
          <w:rFonts w:ascii="Times New Roman" w:hAnsi="Times New Roman"/>
          <w:sz w:val="28"/>
          <w:szCs w:val="28"/>
          <w:lang w:val="uk-UA"/>
        </w:rPr>
        <w:t xml:space="preserve"> </w:t>
      </w:r>
      <w:r w:rsidRPr="00B92736">
        <w:rPr>
          <w:rFonts w:ascii="Times New Roman" w:hAnsi="Times New Roman"/>
          <w:b/>
          <w:bCs/>
          <w:sz w:val="28"/>
          <w:szCs w:val="28"/>
          <w:lang w:val="uk-UA"/>
        </w:rPr>
        <w:t>Територіальна громада як суб’єкт відновлення України: інституційна суб’єктність і трансформація місцевого публічного управління</w:t>
      </w:r>
      <w:r w:rsidRPr="00B92736">
        <w:rPr>
          <w:rFonts w:ascii="Times New Roman" w:hAnsi="Times New Roman"/>
          <w:sz w:val="28"/>
          <w:szCs w:val="28"/>
          <w:lang w:val="uk-UA"/>
        </w:rPr>
        <w:t xml:space="preserve"> [Електронний ресурс] / Т. А. Кравченко // Держава та регіони. Серія : Публіч. упр. та адміністрування : наук.-виробн. журн. – 2026. – Вип. 2. – С. 98-104. </w:t>
      </w:r>
      <w:r w:rsidRPr="00B92736">
        <w:rPr>
          <w:rFonts w:ascii="Times New Roman" w:hAnsi="Times New Roman"/>
          <w:i/>
          <w:iCs/>
          <w:sz w:val="28"/>
          <w:szCs w:val="28"/>
          <w:lang w:val="uk-UA"/>
        </w:rPr>
        <w:t>Доведено, що територіальна громада має розглядатися не лише як адміністративно-територіальна одиниця, а як активний суб’єкт публічного управління, здатний формувати пріоритети розвитку, інтегрувати ресурси, забезпечувати міжсуб’єктну взаємодію та реалізовувати локальну публічну політику. Запропоновано шестиелементну типологію інституційної суб’єктності, яка охоплює формування логіки відновлення, представлення локального публічного інтересу, організацію практичної діяльності, забезпечення цілісності управлінського процесу, інтеграцію ресурсів і суспільну легітимацію рішень. Обґрунтовано, що взаємодія цих складових визначає результативність відновлювальних процесів і спроможність громади переходити від ситуативного реагування до стратегічного управління розвитком території. Зроблено висновок, що інституційна суб’єктність територіальної громади є ключовою передумовою забезпечення стійкості, узгодженості та ефективності процесів відновлення, а також підвищення якості публічного управління на місцевому рівні.</w:t>
      </w:r>
      <w:r w:rsidRPr="00B92736">
        <w:rPr>
          <w:rFonts w:ascii="Times New Roman" w:hAnsi="Times New Roman"/>
          <w:sz w:val="28"/>
          <w:szCs w:val="28"/>
          <w:lang w:val="uk-UA"/>
        </w:rPr>
        <w:t xml:space="preserve"> Текст: </w:t>
      </w:r>
      <w:hyperlink r:id="rId25" w:history="1">
        <w:r w:rsidRPr="00B92736">
          <w:rPr>
            <w:rStyle w:val="a3"/>
            <w:rFonts w:ascii="Times New Roman" w:hAnsi="Times New Roman"/>
            <w:sz w:val="28"/>
            <w:szCs w:val="28"/>
            <w:lang w:val="uk-UA"/>
          </w:rPr>
          <w:t>https://pa.stateandregions.zp.ua/archive/2_2026/16.pdf</w:t>
        </w:r>
      </w:hyperlink>
      <w:r w:rsidRPr="00B92736">
        <w:rPr>
          <w:rFonts w:ascii="Times New Roman" w:hAnsi="Times New Roman"/>
          <w:sz w:val="28"/>
          <w:szCs w:val="28"/>
          <w:lang w:val="uk-UA"/>
        </w:rPr>
        <w:t xml:space="preserve"> </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lang w:val="uk-UA"/>
        </w:rPr>
        <w:t>Курилас В. В. Забезпечення адміністративно-правових засад цифровізації діяльності органів місцевого самоврядування в умовах євроінтеграції</w:t>
      </w:r>
      <w:r w:rsidRPr="00B92736">
        <w:rPr>
          <w:rFonts w:ascii="Times New Roman" w:hAnsi="Times New Roman"/>
          <w:sz w:val="28"/>
          <w:szCs w:val="28"/>
          <w:lang w:val="uk-UA"/>
        </w:rPr>
        <w:t xml:space="preserve"> [Електронний ресурс] /  В. В. Курилас // Наук. вісн. Ужгород. нац. ун-ту. Серія : Право : зб. наук. пр.  – Ужгород, 2026. – №</w:t>
      </w:r>
      <w:r w:rsidRPr="00B92736">
        <w:rPr>
          <w:rFonts w:ascii="Times New Roman" w:hAnsi="Times New Roman"/>
          <w:sz w:val="28"/>
          <w:szCs w:val="28"/>
        </w:rPr>
        <w:t xml:space="preserve"> </w:t>
      </w:r>
      <w:r w:rsidRPr="00B92736">
        <w:rPr>
          <w:rFonts w:ascii="Times New Roman" w:hAnsi="Times New Roman"/>
          <w:sz w:val="28"/>
          <w:szCs w:val="28"/>
          <w:lang w:val="uk-UA"/>
        </w:rPr>
        <w:t>93, т. 3. – С.</w:t>
      </w:r>
      <w:r w:rsidRPr="00B92736">
        <w:rPr>
          <w:rFonts w:ascii="Times New Roman" w:hAnsi="Times New Roman"/>
          <w:sz w:val="28"/>
          <w:szCs w:val="28"/>
        </w:rPr>
        <w:t xml:space="preserve"> </w:t>
      </w:r>
      <w:r w:rsidRPr="00B92736">
        <w:rPr>
          <w:rFonts w:ascii="Times New Roman" w:hAnsi="Times New Roman"/>
          <w:sz w:val="28"/>
          <w:szCs w:val="28"/>
          <w:lang w:val="uk-UA"/>
        </w:rPr>
        <w:t xml:space="preserve">178-183. </w:t>
      </w:r>
      <w:r w:rsidRPr="00B92736">
        <w:rPr>
          <w:rFonts w:ascii="Times New Roman" w:hAnsi="Times New Roman"/>
          <w:i/>
          <w:iCs/>
          <w:sz w:val="28"/>
          <w:szCs w:val="28"/>
          <w:lang w:val="uk-UA"/>
        </w:rPr>
        <w:t>Досліджено адміністративно-правові засади цифровізації діяльності органів місцевого самоврядування (ОМС) в умовах євроінтеграції та визначено її роль у підвищенні якості надання адміністративних послуг. Проаналізовано нормативно-правові, організаційні та кадрові передумови впровадження цифрових технологій, а також схарактеризовано їхній вплив на реалізацію принципів належного врядування Європейського Союзу (ЄС). Встановлено основні проблеми цифрової трансформації територіальних громад, зокрема нерівномірність цифрового розвитку, недостатнє фінансування та потребу в посиленні кібербезпеки. Обґрунтовано необхідність удосконалення правового регулювання, розвитку цифрових компетентностей і забезпечення захисту персональних даних для ефективної цифровізації місцевого самоврядування.</w:t>
      </w:r>
      <w:r w:rsidRPr="00B92736">
        <w:rPr>
          <w:rFonts w:ascii="Times New Roman" w:hAnsi="Times New Roman"/>
          <w:sz w:val="28"/>
          <w:szCs w:val="28"/>
          <w:lang w:val="uk-UA"/>
        </w:rPr>
        <w:t xml:space="preserve"> Текст: </w:t>
      </w:r>
      <w:hyperlink r:id="rId26" w:history="1">
        <w:r w:rsidRPr="00B92736">
          <w:rPr>
            <w:rStyle w:val="a3"/>
            <w:rFonts w:ascii="Times New Roman" w:hAnsi="Times New Roman"/>
            <w:sz w:val="28"/>
            <w:szCs w:val="28"/>
            <w:lang w:val="uk-UA"/>
          </w:rPr>
          <w:t>https://visnyk-juris-uzhnu.com/wp-content/uploads/2026/03/26-2.pdf</w:t>
        </w:r>
      </w:hyperlink>
      <w:r w:rsidRPr="00B92736">
        <w:rPr>
          <w:rFonts w:ascii="Times New Roman" w:hAnsi="Times New Roman"/>
          <w:sz w:val="28"/>
          <w:szCs w:val="28"/>
          <w:lang w:val="uk-UA"/>
        </w:rPr>
        <w:t xml:space="preserve"> </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rPr>
      </w:pPr>
      <w:r w:rsidRPr="00B92736">
        <w:rPr>
          <w:rFonts w:ascii="Times New Roman" w:hAnsi="Times New Roman"/>
          <w:b/>
          <w:bCs/>
          <w:sz w:val="28"/>
          <w:szCs w:val="28"/>
          <w:lang w:val="uk-UA"/>
        </w:rPr>
        <w:t xml:space="preserve">Лиса А. У Костянтинівці видали понад 7 млрд компенсацій за зруйноване житло </w:t>
      </w:r>
      <w:r w:rsidRPr="00B92736">
        <w:rPr>
          <w:rFonts w:ascii="Times New Roman" w:hAnsi="Times New Roman"/>
          <w:sz w:val="28"/>
          <w:szCs w:val="28"/>
          <w:lang w:val="uk-UA"/>
        </w:rPr>
        <w:t xml:space="preserve">[Електронний ресурс] / А. Лиса // </w:t>
      </w:r>
      <w:r w:rsidRPr="00B92736">
        <w:rPr>
          <w:rFonts w:ascii="Times New Roman" w:hAnsi="Times New Roman"/>
          <w:sz w:val="28"/>
          <w:szCs w:val="28"/>
        </w:rPr>
        <w:t>Korrespondent</w:t>
      </w:r>
      <w:r w:rsidRPr="00B92736">
        <w:rPr>
          <w:rFonts w:ascii="Times New Roman" w:hAnsi="Times New Roman"/>
          <w:sz w:val="28"/>
          <w:szCs w:val="28"/>
          <w:lang w:val="uk-UA"/>
        </w:rPr>
        <w:t>.</w:t>
      </w:r>
      <w:r w:rsidRPr="00B92736">
        <w:rPr>
          <w:rFonts w:ascii="Times New Roman" w:hAnsi="Times New Roman"/>
          <w:sz w:val="28"/>
          <w:szCs w:val="28"/>
        </w:rPr>
        <w:t>net</w:t>
      </w:r>
      <w:r w:rsidRPr="00B92736">
        <w:rPr>
          <w:rFonts w:ascii="Times New Roman" w:hAnsi="Times New Roman"/>
          <w:sz w:val="28"/>
          <w:szCs w:val="28"/>
          <w:lang w:val="uk-UA"/>
        </w:rPr>
        <w:t xml:space="preserve"> : [вебсайт]. – 2026. – 28 серп. — Електрон. дані. </w:t>
      </w:r>
      <w:r w:rsidRPr="00956F42">
        <w:rPr>
          <w:rFonts w:ascii="Times New Roman" w:hAnsi="Times New Roman"/>
          <w:i/>
          <w:iCs/>
          <w:sz w:val="28"/>
          <w:szCs w:val="28"/>
          <w:lang w:val="uk-UA"/>
        </w:rPr>
        <w:t xml:space="preserve">Як повідомила міська військова адміністрація (МВА), у Костянтинівській міській громаді за тиждень із 17 до 23 серпня спеціальні комісії визнали зруйнованими 87 житлових об’єктів (76 приватних будинків і 11 багатоквартирних). </w:t>
      </w:r>
      <w:r w:rsidRPr="00B92736">
        <w:rPr>
          <w:rFonts w:ascii="Times New Roman" w:hAnsi="Times New Roman"/>
          <w:i/>
          <w:iCs/>
          <w:sz w:val="28"/>
          <w:szCs w:val="28"/>
        </w:rPr>
        <w:t>За цей період мешканцям громади за програмою «єВідновлення» сформували та видали 353 житлові сертифікати на загальну суму 381 млн грн. Загалом від початку роботи комісій у громаді повністю зруйнованими визнали 1667 житлових об’єктів. Серед них 1291 приватний будинок і 376 багатоквартирних. За результатами розгляду заяв та обстежень об'єктів постраждалим мешканцям вже видали 5858 житлових сертифікатів на нову оселю на понад 7 млрд 362 млн грн.</w:t>
      </w:r>
      <w:r w:rsidRPr="00B92736">
        <w:rPr>
          <w:rFonts w:ascii="Times New Roman" w:hAnsi="Times New Roman"/>
          <w:sz w:val="28"/>
          <w:szCs w:val="28"/>
        </w:rPr>
        <w:t xml:space="preserve"> Текст: </w:t>
      </w:r>
      <w:hyperlink r:id="rId27" w:tgtFrame="_blank" w:history="1">
        <w:r w:rsidRPr="00B92736">
          <w:rPr>
            <w:rStyle w:val="a3"/>
            <w:rFonts w:ascii="Times New Roman" w:hAnsi="Times New Roman"/>
            <w:sz w:val="28"/>
            <w:szCs w:val="28"/>
            <w:lang w:val="uk-UA"/>
          </w:rPr>
          <w:t>https://ua.korrespondent.net/business/economics/4906856-u-kostiantynivtsi-vydaly-ponad-7-mlrd-kompensatsii-za-zruinovane-zhytlo</w:t>
        </w:r>
      </w:hyperlink>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lang w:val="uk-UA"/>
        </w:rPr>
        <w:t>Марцеляк О. В. Електронне голосування: зарубіжний досвід та проблеми його впровадження в Україні</w:t>
      </w:r>
      <w:r w:rsidR="006835F4">
        <w:rPr>
          <w:rFonts w:ascii="Times New Roman" w:hAnsi="Times New Roman"/>
          <w:sz w:val="28"/>
          <w:szCs w:val="28"/>
          <w:lang w:val="uk-UA"/>
        </w:rPr>
        <w:t xml:space="preserve"> [Електронний ресурс] / О. В. </w:t>
      </w:r>
      <w:r w:rsidRPr="00B92736">
        <w:rPr>
          <w:rFonts w:ascii="Times New Roman" w:hAnsi="Times New Roman"/>
          <w:sz w:val="28"/>
          <w:szCs w:val="28"/>
          <w:lang w:val="uk-UA"/>
        </w:rPr>
        <w:t>Марцеляк, С. М. Марцеляк // Наук. вісн. Ужгород. нац. ун-ту. Серія : Право : зб. наук. пр.  – Ужгород, 2026. – №</w:t>
      </w:r>
      <w:r w:rsidRPr="00B92736">
        <w:rPr>
          <w:rFonts w:ascii="Times New Roman" w:hAnsi="Times New Roman"/>
          <w:sz w:val="28"/>
          <w:szCs w:val="28"/>
        </w:rPr>
        <w:t xml:space="preserve"> </w:t>
      </w:r>
      <w:r w:rsidRPr="00B92736">
        <w:rPr>
          <w:rFonts w:ascii="Times New Roman" w:hAnsi="Times New Roman"/>
          <w:sz w:val="28"/>
          <w:szCs w:val="28"/>
          <w:lang w:val="uk-UA"/>
        </w:rPr>
        <w:t>94, т. 1. – С.</w:t>
      </w:r>
      <w:r w:rsidRPr="00B92736">
        <w:rPr>
          <w:rFonts w:ascii="Times New Roman" w:hAnsi="Times New Roman"/>
          <w:sz w:val="28"/>
          <w:szCs w:val="28"/>
        </w:rPr>
        <w:t xml:space="preserve"> </w:t>
      </w:r>
      <w:r w:rsidRPr="00B92736">
        <w:rPr>
          <w:rFonts w:ascii="Times New Roman" w:hAnsi="Times New Roman"/>
          <w:sz w:val="28"/>
          <w:szCs w:val="28"/>
          <w:lang w:val="uk-UA"/>
        </w:rPr>
        <w:t>169-178.</w:t>
      </w:r>
      <w:r w:rsidRPr="00B92736">
        <w:rPr>
          <w:rFonts w:ascii="Times New Roman" w:hAnsi="Times New Roman"/>
          <w:sz w:val="28"/>
          <w:szCs w:val="28"/>
        </w:rPr>
        <w:t xml:space="preserve"> </w:t>
      </w:r>
      <w:r w:rsidRPr="00B92736">
        <w:rPr>
          <w:rFonts w:ascii="Times New Roman" w:hAnsi="Times New Roman"/>
          <w:i/>
          <w:sz w:val="28"/>
          <w:szCs w:val="28"/>
          <w:lang w:val="uk-UA"/>
        </w:rPr>
        <w:t>Досліджено перспективи впровадження електронного голосування в Україні в контексті розвитку інформаційно-комунікаційних технологій та електронної демократії. Проаналізовано міжнародний досвід застосування електронного голосування, а також визначено основні нормативно-правові, технічні й суспільні передумови його ефективного впровадження. Обґрунтовано необхідність урахування міжнародних стандартів, створення надійної технологічної інфраструктури та формування суспільної довіри до цифрових виборчих механізмів. Результати дослідження можуть бути використані для вдосконалення державної політики у сфері цифровізації виборчого процесу та розвитку електронної демократії в Україні.</w:t>
      </w:r>
      <w:r w:rsidRPr="00B92736">
        <w:rPr>
          <w:rFonts w:ascii="Times New Roman" w:hAnsi="Times New Roman"/>
          <w:sz w:val="28"/>
          <w:szCs w:val="28"/>
          <w:lang w:val="uk-UA"/>
        </w:rPr>
        <w:t xml:space="preserve"> Текст: </w:t>
      </w:r>
      <w:hyperlink r:id="rId28" w:history="1">
        <w:r w:rsidRPr="00B92736">
          <w:rPr>
            <w:rStyle w:val="a3"/>
            <w:rFonts w:ascii="Times New Roman" w:hAnsi="Times New Roman"/>
            <w:sz w:val="28"/>
            <w:szCs w:val="28"/>
            <w:lang w:val="uk-UA"/>
          </w:rPr>
          <w:t>https://visnyk-juris-uzhnu.com/wp-content/uploads/2026/05/24.pdf</w:t>
        </w:r>
      </w:hyperlink>
      <w:r w:rsidRPr="00B92736">
        <w:rPr>
          <w:rFonts w:ascii="Times New Roman" w:hAnsi="Times New Roman"/>
          <w:sz w:val="28"/>
          <w:szCs w:val="28"/>
          <w:lang w:val="uk-UA"/>
        </w:rPr>
        <w:t xml:space="preserve"> </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rPr>
        <w:t xml:space="preserve">Місцеве та регіональне самоврядування в Україні: сучасний стан та шляхи реформування </w:t>
      </w:r>
      <w:r w:rsidRPr="00B92736">
        <w:rPr>
          <w:rFonts w:ascii="Times New Roman" w:hAnsi="Times New Roman"/>
          <w:sz w:val="28"/>
          <w:szCs w:val="28"/>
          <w:lang w:val="uk-UA"/>
        </w:rPr>
        <w:t>/ [Б. В. Буркинський та ін.</w:t>
      </w:r>
      <w:proofErr w:type="gramStart"/>
      <w:r w:rsidRPr="00B92736">
        <w:rPr>
          <w:rFonts w:ascii="Times New Roman" w:hAnsi="Times New Roman"/>
          <w:sz w:val="28"/>
          <w:szCs w:val="28"/>
          <w:lang w:val="uk-UA"/>
        </w:rPr>
        <w:t>] ;</w:t>
      </w:r>
      <w:proofErr w:type="gramEnd"/>
      <w:r w:rsidRPr="00B92736">
        <w:rPr>
          <w:rFonts w:ascii="Times New Roman" w:hAnsi="Times New Roman"/>
          <w:sz w:val="28"/>
          <w:szCs w:val="28"/>
          <w:lang w:val="uk-UA"/>
        </w:rPr>
        <w:t xml:space="preserve"> за наук. ред. Бориса Буркинського та Олега Кутателадзе ; НАН України, ДУ ”Ін-т ринку і екон.-екол. дослідж. НАН України”. — Одеса : ДУ ”ІРЕЕД НАНУ”, 2025. — 494 с. : іл., табл. </w:t>
      </w:r>
      <w:r w:rsidRPr="00B92736">
        <w:rPr>
          <w:rFonts w:ascii="Times New Roman" w:hAnsi="Times New Roman"/>
          <w:b/>
          <w:bCs/>
          <w:i/>
          <w:iCs/>
          <w:sz w:val="28"/>
          <w:szCs w:val="28"/>
          <w:lang w:val="uk-UA"/>
        </w:rPr>
        <w:t xml:space="preserve">Шифр зберігання в Бібліотеці: Б379280 </w:t>
      </w:r>
      <w:r w:rsidRPr="00B92736">
        <w:rPr>
          <w:rFonts w:ascii="Times New Roman" w:hAnsi="Times New Roman"/>
          <w:i/>
          <w:iCs/>
          <w:sz w:val="28"/>
          <w:szCs w:val="28"/>
          <w:lang w:val="uk-UA"/>
        </w:rPr>
        <w:t xml:space="preserve">У монографії розглянуто історію зародження та розвитку місцевого самоврядування від грецьких полісів до Європейської хартії самоврядування, здійснено аналіз сучасного стану та тенденцій розвитку місцевого самоврядування в країнах Європи Розкрито  сутність спроможності територіальних громад, визначено шляхи удосконалення система бюджетного вирівнювання в Україні, розвинуто методичні засади оцінювання економічної спроможності територіальних громад. </w:t>
      </w:r>
      <w:r w:rsidRPr="00B92736">
        <w:rPr>
          <w:rFonts w:ascii="Times New Roman" w:hAnsi="Times New Roman"/>
          <w:i/>
          <w:iCs/>
          <w:sz w:val="28"/>
          <w:szCs w:val="28"/>
        </w:rPr>
        <w:t>Здійснено аналіз бюджетного забезпечення діяльності органів місцевого самоврядування (ОМС). Запропоновано методику комплексного оцінювання бюджетних програм. Висвітлено досвід кращих громад України. Окреслено шляхи подальшого реформування місцевого і регіонального самоврядування та територіальної організації влади в Україні.</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rPr>
        <w:t>Новосад Р. В. Інституційне забезпечення публічно-управлінського механізму надання електронних послуг</w:t>
      </w:r>
      <w:r w:rsidRPr="00B92736">
        <w:rPr>
          <w:rFonts w:ascii="Times New Roman" w:hAnsi="Times New Roman"/>
          <w:sz w:val="28"/>
          <w:szCs w:val="28"/>
        </w:rPr>
        <w:t xml:space="preserve"> [Електронний ресурс] / Р. В. Новосад</w:t>
      </w:r>
      <w:r w:rsidRPr="00B92736">
        <w:rPr>
          <w:rFonts w:ascii="Times New Roman" w:hAnsi="Times New Roman"/>
          <w:sz w:val="28"/>
          <w:szCs w:val="28"/>
          <w:lang w:val="uk-UA"/>
        </w:rPr>
        <w:t xml:space="preserve"> // Держава та регіони. Серія : Публіч. упр. та адміністрування : наук.-виробн. журн. – 2026. – Вип. 1. – С. 45-51. </w:t>
      </w:r>
      <w:r w:rsidRPr="00B92736">
        <w:rPr>
          <w:rFonts w:ascii="Times New Roman" w:hAnsi="Times New Roman"/>
          <w:i/>
          <w:iCs/>
          <w:sz w:val="28"/>
          <w:szCs w:val="28"/>
          <w:lang w:val="uk-UA"/>
        </w:rPr>
        <w:t>Проаналізовано особливості формування інституційної архітектури електронних послуг на центральному та місцевому рівнях, визначено проблеми міжінституційної взаємодії, фрагментарності управління та нерівномірної інституційної спроможності суб’єктів публічної влади. Обґрунтовано, що ефективність функціонування електронних послуг залежить від належної координації, кадрового потенціалу, організаційної культури та інтеграції цифрових сервісів у процеси планування, реалізації й оцінювання публічної політики. Зроблено висновок про необхідність удосконалення інституційного забезпечення шляхом чіткого розмежування повноважень, розвитку механізмів міжвідомчої взаємодії та переходу до цілісної моделі електронного врядування, орієнтованої на потреби суспільства.</w:t>
      </w:r>
      <w:r w:rsidR="006835F4">
        <w:rPr>
          <w:rFonts w:ascii="Times New Roman" w:hAnsi="Times New Roman"/>
          <w:i/>
          <w:iCs/>
          <w:sz w:val="28"/>
          <w:szCs w:val="28"/>
          <w:lang w:val="uk-UA"/>
        </w:rPr>
        <w:t xml:space="preserve">             </w:t>
      </w:r>
      <w:r w:rsidRPr="00B92736">
        <w:rPr>
          <w:rFonts w:ascii="Times New Roman" w:hAnsi="Times New Roman"/>
          <w:i/>
          <w:iCs/>
          <w:sz w:val="28"/>
          <w:szCs w:val="28"/>
          <w:lang w:val="uk-UA"/>
        </w:rPr>
        <w:t xml:space="preserve"> </w:t>
      </w:r>
      <w:r w:rsidRPr="00B92736">
        <w:rPr>
          <w:rFonts w:ascii="Times New Roman" w:hAnsi="Times New Roman"/>
          <w:sz w:val="28"/>
          <w:szCs w:val="28"/>
          <w:lang w:val="uk-UA"/>
        </w:rPr>
        <w:t xml:space="preserve">Текст: </w:t>
      </w:r>
      <w:hyperlink r:id="rId29" w:history="1">
        <w:r w:rsidRPr="00B92736">
          <w:rPr>
            <w:rStyle w:val="a3"/>
            <w:rFonts w:ascii="Times New Roman" w:hAnsi="Times New Roman"/>
            <w:sz w:val="28"/>
            <w:szCs w:val="28"/>
            <w:lang w:val="uk-UA"/>
          </w:rPr>
          <w:t>https://pa.stateandregions.zp.ua/archive/1_2026/8.pdf</w:t>
        </w:r>
      </w:hyperlink>
      <w:r w:rsidRPr="00B92736">
        <w:rPr>
          <w:rFonts w:ascii="Times New Roman" w:hAnsi="Times New Roman"/>
          <w:sz w:val="28"/>
          <w:szCs w:val="28"/>
          <w:lang w:val="uk-UA"/>
        </w:rPr>
        <w:t xml:space="preserve"> </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rPr>
        <w:t xml:space="preserve">Олександр Корнієнко: Попри воєнні й бюджетні виклики, продовжуємо реформу місцевого самоврядування та зміцнюємо стійкість держави </w:t>
      </w:r>
      <w:r w:rsidRPr="00B92736">
        <w:rPr>
          <w:rFonts w:ascii="Times New Roman" w:hAnsi="Times New Roman"/>
          <w:sz w:val="28"/>
          <w:szCs w:val="28"/>
          <w:lang w:val="uk-UA"/>
        </w:rPr>
        <w:t>[Електронний ресурс] / Прес-служба Апарату Верхов. Ради України // Голос України. – 2026. – 18 серп. [№ 662]. – Електрон. дані.</w:t>
      </w:r>
      <w:r w:rsidRPr="00B92736">
        <w:rPr>
          <w:rFonts w:ascii="Times New Roman" w:hAnsi="Times New Roman"/>
          <w:b/>
          <w:bCs/>
          <w:sz w:val="28"/>
          <w:szCs w:val="28"/>
          <w:lang w:val="uk-UA"/>
        </w:rPr>
        <w:t xml:space="preserve"> </w:t>
      </w:r>
      <w:r w:rsidRPr="00B92736">
        <w:rPr>
          <w:rFonts w:ascii="Times New Roman" w:hAnsi="Times New Roman"/>
          <w:i/>
          <w:iCs/>
          <w:sz w:val="28"/>
          <w:szCs w:val="28"/>
          <w:lang w:val="uk-UA"/>
        </w:rPr>
        <w:t xml:space="preserve">Подано інформацію, що Перший заступник Голови Верховної Ради України (ВР України) Олександр Корнієнко з робочим візитом відвідав Волинь. Він провів зустріч із представниками громад, під час якої обговорили актуальні проблеми регіону та рішення, необхідні для їхньої стабільної роботи й розвитку. Серед ключових питань — фінансова спроможність громад, збереження 64 % ПДФО, перегляд підходів до реверсної дотації, а також своєчасне та прогнозоване фінансування субвенцій і дотацій. У межах робочого візиту Перший віцеспікер також відвідав ветеранський простір, де ознайомився з його роботою та планами розвитку. Представники простору окреслили потреби, які необхідно вирішити на державному рівні. Зокрема, йдеться про зміни до постанови Кабінету Міністрів України (КМ України), необхідні для його повноцінної роботи. Окрему увагу приділили професійній реалізації ветеранів після повернення з війська. Зокрема йшлося про доступ до перекваліфікації за державний кошт, а також навчання з менеджменту, управління та сучасних технологій для тих, хто прагне застосувати набутий у війську досвід у цивільному житті. </w:t>
      </w:r>
      <w:r w:rsidRPr="00B92736">
        <w:rPr>
          <w:rFonts w:ascii="Times New Roman" w:hAnsi="Times New Roman"/>
          <w:sz w:val="28"/>
          <w:szCs w:val="28"/>
          <w:lang w:val="uk-UA"/>
        </w:rPr>
        <w:t xml:space="preserve">Текст: </w:t>
      </w:r>
      <w:hyperlink r:id="rId30" w:tgtFrame="_blank" w:history="1">
        <w:r w:rsidRPr="00B92736">
          <w:rPr>
            <w:rStyle w:val="a3"/>
            <w:rFonts w:ascii="Times New Roman" w:hAnsi="Times New Roman"/>
            <w:sz w:val="28"/>
            <w:szCs w:val="28"/>
            <w:lang w:val="uk-UA"/>
          </w:rPr>
          <w:t>https://www.golos.com.ua/article/392293</w:t>
        </w:r>
      </w:hyperlink>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lang w:val="uk-UA"/>
        </w:rPr>
        <w:t>Папуч Ю. В. Гарантії трудових прав посадових осіб органів місцевого самоврядування: проблеми реалізації та перспективи вдосконалення</w:t>
      </w:r>
      <w:r w:rsidRPr="00B92736">
        <w:rPr>
          <w:rFonts w:ascii="Times New Roman" w:hAnsi="Times New Roman"/>
          <w:sz w:val="28"/>
          <w:szCs w:val="28"/>
          <w:lang w:val="uk-UA"/>
        </w:rPr>
        <w:t xml:space="preserve"> [Електронний ресурс] / Ю. В. Папуч // Наук. вісн. Ужгород. нац. ун-ту. Серія : Право : зб. наук. пр.  – Ужгород, 2026. – №</w:t>
      </w:r>
      <w:r w:rsidRPr="00B92736">
        <w:rPr>
          <w:rFonts w:ascii="Times New Roman" w:hAnsi="Times New Roman"/>
          <w:sz w:val="28"/>
          <w:szCs w:val="28"/>
        </w:rPr>
        <w:t xml:space="preserve"> </w:t>
      </w:r>
      <w:r w:rsidRPr="00B92736">
        <w:rPr>
          <w:rFonts w:ascii="Times New Roman" w:hAnsi="Times New Roman"/>
          <w:sz w:val="28"/>
          <w:szCs w:val="28"/>
          <w:lang w:val="uk-UA"/>
        </w:rPr>
        <w:t>94, т. 2. – С.</w:t>
      </w:r>
      <w:r w:rsidRPr="00B92736">
        <w:rPr>
          <w:rFonts w:ascii="Times New Roman" w:hAnsi="Times New Roman"/>
          <w:sz w:val="28"/>
          <w:szCs w:val="28"/>
        </w:rPr>
        <w:t xml:space="preserve"> </w:t>
      </w:r>
      <w:r w:rsidRPr="00B92736">
        <w:rPr>
          <w:rFonts w:ascii="Times New Roman" w:hAnsi="Times New Roman"/>
          <w:sz w:val="28"/>
          <w:szCs w:val="28"/>
          <w:lang w:val="uk-UA"/>
        </w:rPr>
        <w:t>166-171.</w:t>
      </w:r>
      <w:r w:rsidRPr="00B92736">
        <w:rPr>
          <w:rFonts w:ascii="Times New Roman" w:hAnsi="Times New Roman"/>
          <w:sz w:val="28"/>
          <w:szCs w:val="28"/>
        </w:rPr>
        <w:t xml:space="preserve"> </w:t>
      </w:r>
      <w:r w:rsidRPr="00B92736">
        <w:rPr>
          <w:rFonts w:ascii="Times New Roman" w:hAnsi="Times New Roman"/>
          <w:i/>
          <w:iCs/>
          <w:sz w:val="28"/>
          <w:szCs w:val="28"/>
          <w:lang w:val="uk-UA"/>
        </w:rPr>
        <w:t>Досліджено гарантії трудових прав посадових осіб ОМС як складову їх спеціального правового статусу та розкрито їх комплексну правову природу на перетині трудового, муніципального, адміністративного і соціального законодавства. Визначено систему спеціальних гарантій, що охоплюють проходження служби, оплату праці, професійний розвиток, соціальне забезпечення, захист від незаконного звільнення та механізми оскарження кадрових рішень. Встановлено основні проблеми нормативного регулювання, зокрема фрагментарність законодавства, невизначеність співвідношення трудового і службового права, нестабільність матеріальних гарантій та вплив воєнного стану на реалізацію трудових прав. Запропоновано класифікацію гарантій трудових прав посадових осіб органів місцевого самоврядування (ОМС) й обґрунтовано необхідність систематизації законодавства, удосконалення процедурних механізмів захисту й гармонізації національного регулювання з європейськими стандартами публічної служби та місцевої демократії.</w:t>
      </w:r>
      <w:r w:rsidRPr="00B92736">
        <w:rPr>
          <w:rFonts w:ascii="Times New Roman" w:hAnsi="Times New Roman"/>
          <w:sz w:val="28"/>
          <w:szCs w:val="28"/>
          <w:lang w:val="uk-UA"/>
        </w:rPr>
        <w:t xml:space="preserve"> Текст: </w:t>
      </w:r>
      <w:hyperlink r:id="rId31" w:history="1">
        <w:r w:rsidRPr="00B92736">
          <w:rPr>
            <w:rStyle w:val="a3"/>
            <w:rFonts w:ascii="Times New Roman" w:hAnsi="Times New Roman"/>
            <w:sz w:val="28"/>
            <w:szCs w:val="28"/>
            <w:lang w:val="uk-UA"/>
          </w:rPr>
          <w:t>https://visnyk-juris-uzhnu.com/wp-content/uploads/2026/05/25-1.pdf</w:t>
        </w:r>
      </w:hyperlink>
      <w:r w:rsidRPr="00B92736">
        <w:rPr>
          <w:rFonts w:ascii="Times New Roman" w:hAnsi="Times New Roman"/>
          <w:sz w:val="28"/>
          <w:szCs w:val="28"/>
          <w:lang w:val="uk-UA"/>
        </w:rPr>
        <w:t xml:space="preserve"> </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rPr>
      </w:pPr>
      <w:r w:rsidRPr="00B92736">
        <w:rPr>
          <w:rFonts w:ascii="Times New Roman" w:hAnsi="Times New Roman"/>
          <w:b/>
          <w:bCs/>
          <w:sz w:val="28"/>
          <w:szCs w:val="28"/>
        </w:rPr>
        <w:t xml:space="preserve">Підготовка до опалювального сезону: РНБО розглянула плани стійкості регіонів </w:t>
      </w:r>
      <w:r w:rsidRPr="00B92736">
        <w:rPr>
          <w:rFonts w:ascii="Times New Roman" w:hAnsi="Times New Roman"/>
          <w:sz w:val="28"/>
          <w:szCs w:val="28"/>
          <w:lang w:val="uk-UA"/>
        </w:rPr>
        <w:t xml:space="preserve">[Електронний ресурс] // Юрид. газ. – 2026. – 6 серп. – Електрон. дані. </w:t>
      </w:r>
      <w:r w:rsidRPr="00B92736">
        <w:rPr>
          <w:rFonts w:ascii="Times New Roman" w:hAnsi="Times New Roman"/>
          <w:i/>
          <w:iCs/>
          <w:sz w:val="28"/>
          <w:szCs w:val="28"/>
        </w:rPr>
        <w:t xml:space="preserve">Висвітлено результати засідання </w:t>
      </w:r>
      <w:proofErr w:type="gramStart"/>
      <w:r w:rsidRPr="00B92736">
        <w:rPr>
          <w:rFonts w:ascii="Times New Roman" w:hAnsi="Times New Roman"/>
          <w:i/>
          <w:iCs/>
          <w:sz w:val="28"/>
          <w:szCs w:val="28"/>
        </w:rPr>
        <w:t>Ради</w:t>
      </w:r>
      <w:proofErr w:type="gramEnd"/>
      <w:r w:rsidRPr="00B92736">
        <w:rPr>
          <w:rFonts w:ascii="Times New Roman" w:hAnsi="Times New Roman"/>
          <w:i/>
          <w:iCs/>
          <w:sz w:val="28"/>
          <w:szCs w:val="28"/>
        </w:rPr>
        <w:t xml:space="preserve"> національної безпеки і оборони України, присвяченого підготовці до опалювального сезону 2026 – 2027 рр. Розглянуто стан виконання комплексних планів стійкості регіонів, спрямованих на забезпечення енергетичної безпеки, захист критичної інфраструктури та безперебійного функціонування систем життєзабезпечення в умовах воєнних загроз. Наголошено на необхідності прискорення підготовчих заходів у регіонах, персональній відповідальності керівників за реалізацію затверджених планів і посиленні координації між центральними органами влади та місцевим самоврядуванням для забезпечення стабільного проходження осінньо-зимового періоду. </w:t>
      </w:r>
      <w:r w:rsidRPr="00B92736">
        <w:rPr>
          <w:rFonts w:ascii="Times New Roman" w:hAnsi="Times New Roman"/>
          <w:sz w:val="28"/>
          <w:szCs w:val="28"/>
          <w:lang w:val="uk-UA"/>
        </w:rPr>
        <w:t xml:space="preserve">Текст: </w:t>
      </w:r>
      <w:hyperlink r:id="rId32" w:tgtFrame="_blank" w:history="1">
        <w:r w:rsidRPr="00B92736">
          <w:rPr>
            <w:rStyle w:val="a3"/>
            <w:rFonts w:ascii="Times New Roman" w:hAnsi="Times New Roman"/>
            <w:sz w:val="28"/>
            <w:szCs w:val="28"/>
          </w:rPr>
          <w:t>https://yur-gazeta.com/golovna/pidgotovka-do-opalyuvalnogo-sezonu-rnbo-rozglyanula-plani-stiykosti-regioniv.html</w:t>
        </w:r>
      </w:hyperlink>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rPr>
        <w:t>Пономаренко М. М. Публічне управління у сфері благоустрою населених пунктів: нормативні виклики та напрями модернізації</w:t>
      </w:r>
      <w:r w:rsidRPr="00B92736">
        <w:rPr>
          <w:rFonts w:ascii="Times New Roman" w:hAnsi="Times New Roman"/>
          <w:sz w:val="28"/>
          <w:szCs w:val="28"/>
        </w:rPr>
        <w:t xml:space="preserve"> [Електронний ресурс] / М. М. Пономаренко</w:t>
      </w:r>
      <w:r w:rsidRPr="00B92736">
        <w:rPr>
          <w:rFonts w:ascii="Times New Roman" w:hAnsi="Times New Roman"/>
          <w:sz w:val="28"/>
          <w:szCs w:val="28"/>
          <w:lang w:val="uk-UA"/>
        </w:rPr>
        <w:t xml:space="preserve"> // Держава та регіони. Серія : Публіч. упр. та адміністрування : наук.-виробн. журн. – 2026. – Вип. 1. – С. 71-75. </w:t>
      </w:r>
      <w:r w:rsidRPr="00B92736">
        <w:rPr>
          <w:rFonts w:ascii="Times New Roman" w:hAnsi="Times New Roman"/>
          <w:i/>
          <w:iCs/>
          <w:sz w:val="28"/>
          <w:szCs w:val="28"/>
          <w:lang w:val="uk-UA"/>
        </w:rPr>
        <w:t>Проаналізовано нормативно-правові, конституційні та організаційні основи здійснення благоустрою, визначено роль органів державної влади й органів місцевого самоврядування (ОМС), а також окреслено проблеми правового регулювання, дозвільно-ліцензійного адміністрування та містобудівної діяльності. Обґрунтовано необхідність систематизації законодавства, розроблення комплексного кодифікованого акта та впровадження сучасних підходів до управління, орієнтованих на енергоефективність, сталий розвиток і раціональне використання ресурсів. Зроблено висновок, що вдосконалення публічного управління на засадах сервісної держави, децентралізації та партнерства з приватним сектором і громадянським суспільством сприятиме підвищенню якості публічних послуг і забезпеченню комфортних та безпечних умов життя населення.</w:t>
      </w:r>
      <w:r w:rsidR="006835F4">
        <w:rPr>
          <w:rFonts w:ascii="Times New Roman" w:hAnsi="Times New Roman"/>
          <w:i/>
          <w:iCs/>
          <w:sz w:val="28"/>
          <w:szCs w:val="28"/>
          <w:lang w:val="uk-UA"/>
        </w:rPr>
        <w:t xml:space="preserve">            </w:t>
      </w:r>
      <w:r w:rsidRPr="00B92736">
        <w:rPr>
          <w:rFonts w:ascii="Times New Roman" w:hAnsi="Times New Roman"/>
          <w:i/>
          <w:iCs/>
          <w:sz w:val="28"/>
          <w:szCs w:val="28"/>
          <w:lang w:val="uk-UA"/>
        </w:rPr>
        <w:t xml:space="preserve"> </w:t>
      </w:r>
      <w:r w:rsidRPr="00B92736">
        <w:rPr>
          <w:rFonts w:ascii="Times New Roman" w:hAnsi="Times New Roman"/>
          <w:sz w:val="28"/>
          <w:szCs w:val="28"/>
          <w:lang w:val="uk-UA"/>
        </w:rPr>
        <w:t>Текст:</w:t>
      </w:r>
      <w:r w:rsidRPr="00B92736">
        <w:rPr>
          <w:rFonts w:ascii="Times New Roman" w:hAnsi="Times New Roman"/>
          <w:sz w:val="28"/>
          <w:szCs w:val="28"/>
        </w:rPr>
        <w:t xml:space="preserve"> </w:t>
      </w:r>
      <w:hyperlink r:id="rId33" w:history="1">
        <w:r w:rsidRPr="00B92736">
          <w:rPr>
            <w:rStyle w:val="a3"/>
            <w:rFonts w:ascii="Times New Roman" w:hAnsi="Times New Roman"/>
            <w:sz w:val="28"/>
            <w:szCs w:val="28"/>
            <w:lang w:val="uk-UA"/>
          </w:rPr>
          <w:t>https://pa.stateandregions.zp.ua/archive/1_2026/12.pdf</w:t>
        </w:r>
      </w:hyperlink>
      <w:r w:rsidRPr="00B92736">
        <w:rPr>
          <w:rFonts w:ascii="Times New Roman" w:hAnsi="Times New Roman"/>
          <w:sz w:val="28"/>
          <w:szCs w:val="28"/>
          <w:lang w:val="uk-UA"/>
        </w:rPr>
        <w:t xml:space="preserve"> </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rPr>
        <w:t>Пронько Л. М.</w:t>
      </w:r>
      <w:r w:rsidRPr="00B92736">
        <w:rPr>
          <w:rFonts w:ascii="Times New Roman" w:hAnsi="Times New Roman"/>
          <w:sz w:val="28"/>
          <w:szCs w:val="28"/>
          <w:lang w:val="uk-UA"/>
        </w:rPr>
        <w:t xml:space="preserve"> </w:t>
      </w:r>
      <w:r w:rsidRPr="00B92736">
        <w:rPr>
          <w:rFonts w:ascii="Times New Roman" w:hAnsi="Times New Roman"/>
          <w:b/>
          <w:bCs/>
          <w:sz w:val="28"/>
          <w:szCs w:val="28"/>
        </w:rPr>
        <w:t>Правове регулювання публічного адміністрування та ефективності роботи органів місцевої влади</w:t>
      </w:r>
      <w:r w:rsidRPr="00B92736">
        <w:rPr>
          <w:rFonts w:ascii="Times New Roman" w:hAnsi="Times New Roman"/>
          <w:sz w:val="28"/>
          <w:szCs w:val="28"/>
        </w:rPr>
        <w:t xml:space="preserve"> [Електронний ресурс] / Л. М. Пронько, К. Г. Кулик</w:t>
      </w:r>
      <w:r w:rsidRPr="00B92736">
        <w:rPr>
          <w:rFonts w:ascii="Times New Roman" w:hAnsi="Times New Roman"/>
          <w:sz w:val="28"/>
          <w:szCs w:val="28"/>
          <w:lang w:val="uk-UA"/>
        </w:rPr>
        <w:t xml:space="preserve"> // Держава та регіони. Серія : Публіч. упр. та адміністрування : наук.-виробн. журн. – 2026. – Вип. 2. – С. 61-68. </w:t>
      </w:r>
      <w:r w:rsidRPr="00B92736">
        <w:rPr>
          <w:rFonts w:ascii="Times New Roman" w:hAnsi="Times New Roman"/>
          <w:i/>
          <w:iCs/>
          <w:sz w:val="28"/>
          <w:szCs w:val="28"/>
          <w:lang w:val="uk-UA"/>
        </w:rPr>
        <w:t>Проаналізовано нормативно-правові засади функціонування органів місцевого самоврядування (ОМС), визначено основні проблеми правового забезпечення їх діяльності, зокрема фрагментарність законодавства, ресурсні обмеження, недостатню цифровізацію та кадрові дисбаланси. Надано оцінку сучасного стану ефективності місцевого самоврядування із застосуванням інтегральних, економічних, соціальних і сервісних показників, а також проведено PESTEL-аналіз зовнішнього середовища. Встановлено, що найбільший вплив на функціонування органів місцевої влади мають економічні обмеження, правова нестабільність і нерівномірний рівень цифрового розвитку громад. Обґрунтовано напрями вдосконалення правового регулювання та підвищення ефективності публічного адміністрування шляхом гармонізації законодавства, розвитку цифрового управління, зміцнення кадрового потенціалу та фінансової спроможності територіальних громад.</w:t>
      </w:r>
      <w:r w:rsidR="006835F4">
        <w:rPr>
          <w:rFonts w:ascii="Times New Roman" w:hAnsi="Times New Roman"/>
          <w:i/>
          <w:iCs/>
          <w:sz w:val="28"/>
          <w:szCs w:val="28"/>
          <w:lang w:val="uk-UA"/>
        </w:rPr>
        <w:t xml:space="preserve">             </w:t>
      </w:r>
      <w:r w:rsidRPr="00B92736">
        <w:rPr>
          <w:rFonts w:ascii="Times New Roman" w:hAnsi="Times New Roman"/>
          <w:i/>
          <w:iCs/>
          <w:sz w:val="28"/>
          <w:szCs w:val="28"/>
          <w:lang w:val="uk-UA"/>
        </w:rPr>
        <w:t xml:space="preserve"> </w:t>
      </w:r>
      <w:r w:rsidRPr="00B92736">
        <w:rPr>
          <w:rFonts w:ascii="Times New Roman" w:hAnsi="Times New Roman"/>
          <w:sz w:val="28"/>
          <w:szCs w:val="28"/>
          <w:lang w:val="uk-UA"/>
        </w:rPr>
        <w:t xml:space="preserve">Текст: </w:t>
      </w:r>
      <w:hyperlink r:id="rId34" w:history="1">
        <w:r w:rsidRPr="00B92736">
          <w:rPr>
            <w:rStyle w:val="a3"/>
            <w:rFonts w:ascii="Times New Roman" w:hAnsi="Times New Roman"/>
            <w:sz w:val="28"/>
            <w:szCs w:val="28"/>
            <w:lang w:val="uk-UA"/>
          </w:rPr>
          <w:t>https://pa.stateandregions.zp.ua/archive/2_2026/11.pdf</w:t>
        </w:r>
      </w:hyperlink>
      <w:r w:rsidRPr="00B92736">
        <w:rPr>
          <w:rFonts w:ascii="Times New Roman" w:hAnsi="Times New Roman"/>
          <w:sz w:val="28"/>
          <w:szCs w:val="28"/>
          <w:lang w:val="uk-UA"/>
        </w:rPr>
        <w:t xml:space="preserve"> </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lang w:val="uk-UA"/>
        </w:rPr>
        <w:t xml:space="preserve">Психологічні предиктори соціального розвитку особистості в сучасних умовах освітнього середовища : </w:t>
      </w:r>
      <w:r w:rsidRPr="00B92736">
        <w:rPr>
          <w:rFonts w:ascii="Times New Roman" w:hAnsi="Times New Roman"/>
          <w:sz w:val="28"/>
          <w:szCs w:val="28"/>
          <w:lang w:val="uk-UA"/>
        </w:rPr>
        <w:t xml:space="preserve">зб. тез II Всеукр. наук.-практ. інтернет-конф. з міжнар. участю, 20 листоп. 2025 р., [м. Київ] / М-во освіти і науки України, Нац. техн. ун-т України ”Київ. політехн. ін-т ім. І. Сікорського” [та ін.]. — Київ : КПІ ім. Ігоря Сікорського, 2025. — 179 с. </w:t>
      </w:r>
      <w:r w:rsidRPr="00B92736">
        <w:rPr>
          <w:rFonts w:ascii="Times New Roman" w:hAnsi="Times New Roman"/>
          <w:b/>
          <w:bCs/>
          <w:i/>
          <w:iCs/>
          <w:sz w:val="28"/>
          <w:szCs w:val="28"/>
          <w:lang w:val="uk-UA"/>
        </w:rPr>
        <w:t>Шифр зберігання в Бібліотеці : В86490</w:t>
      </w:r>
      <w:r w:rsidRPr="00B92736">
        <w:rPr>
          <w:rFonts w:ascii="Times New Roman" w:hAnsi="Times New Roman"/>
          <w:i/>
          <w:iCs/>
          <w:sz w:val="28"/>
          <w:szCs w:val="28"/>
          <w:lang w:val="uk-UA"/>
        </w:rPr>
        <w:t xml:space="preserve"> Зі змісту : Адаптаційний потенціал і психологічні предиктори професійного благополуччя представників органів місцевого самоврядування в кризових умовах/  Т. Ринжук. – С.127-129</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rPr>
      </w:pPr>
      <w:r w:rsidRPr="00B92736">
        <w:rPr>
          <w:rFonts w:ascii="Times New Roman" w:hAnsi="Times New Roman"/>
          <w:b/>
          <w:bCs/>
          <w:sz w:val="28"/>
          <w:szCs w:val="28"/>
          <w:lang w:val="uk-UA"/>
        </w:rPr>
        <w:t>Пустіва В. Сховаються не всі: скільки нових укриттів збудували у Києві з 2022 року</w:t>
      </w:r>
      <w:r w:rsidRPr="00B92736">
        <w:rPr>
          <w:rFonts w:ascii="Times New Roman" w:hAnsi="Times New Roman"/>
          <w:sz w:val="28"/>
          <w:szCs w:val="28"/>
          <w:lang w:val="uk-UA"/>
        </w:rPr>
        <w:t xml:space="preserve"> [Електронний ресурс] / Валентина Пустіва // </w:t>
      </w:r>
      <w:r w:rsidRPr="00B92736">
        <w:rPr>
          <w:rFonts w:ascii="Times New Roman" w:hAnsi="Times New Roman"/>
          <w:sz w:val="28"/>
          <w:szCs w:val="28"/>
        </w:rPr>
        <w:t>Korrespondent</w:t>
      </w:r>
      <w:r w:rsidRPr="00B92736">
        <w:rPr>
          <w:rFonts w:ascii="Times New Roman" w:hAnsi="Times New Roman"/>
          <w:sz w:val="28"/>
          <w:szCs w:val="28"/>
          <w:lang w:val="uk-UA"/>
        </w:rPr>
        <w:t>.</w:t>
      </w:r>
      <w:r w:rsidRPr="00B92736">
        <w:rPr>
          <w:rFonts w:ascii="Times New Roman" w:hAnsi="Times New Roman"/>
          <w:sz w:val="28"/>
          <w:szCs w:val="28"/>
        </w:rPr>
        <w:t>net</w:t>
      </w:r>
      <w:r w:rsidRPr="00B92736">
        <w:rPr>
          <w:rFonts w:ascii="Times New Roman" w:hAnsi="Times New Roman"/>
          <w:sz w:val="28"/>
          <w:szCs w:val="28"/>
          <w:lang w:val="uk-UA"/>
        </w:rPr>
        <w:t xml:space="preserve"> : [вебсайт]. – 2026. – 22 серп. — Електрон. дані. </w:t>
      </w:r>
      <w:r w:rsidRPr="00956F42">
        <w:rPr>
          <w:rFonts w:ascii="Times New Roman" w:hAnsi="Times New Roman"/>
          <w:i/>
          <w:iCs/>
          <w:sz w:val="28"/>
          <w:szCs w:val="28"/>
          <w:lang w:val="uk-UA"/>
        </w:rPr>
        <w:t>Як вказано у відповіді Київської міської державної адміністрації (КМДА) на запит онлайн-медіа «</w:t>
      </w:r>
      <w:r w:rsidRPr="00B92736">
        <w:rPr>
          <w:rFonts w:ascii="Times New Roman" w:hAnsi="Times New Roman"/>
          <w:i/>
          <w:iCs/>
          <w:sz w:val="28"/>
          <w:szCs w:val="28"/>
        </w:rPr>
        <w:t>Dengi</w:t>
      </w:r>
      <w:r w:rsidRPr="00956F42">
        <w:rPr>
          <w:rFonts w:ascii="Times New Roman" w:hAnsi="Times New Roman"/>
          <w:i/>
          <w:iCs/>
          <w:sz w:val="28"/>
          <w:szCs w:val="28"/>
          <w:lang w:val="uk-UA"/>
        </w:rPr>
        <w:t>.</w:t>
      </w:r>
      <w:r w:rsidRPr="00B92736">
        <w:rPr>
          <w:rFonts w:ascii="Times New Roman" w:hAnsi="Times New Roman"/>
          <w:i/>
          <w:iCs/>
          <w:sz w:val="28"/>
          <w:szCs w:val="28"/>
        </w:rPr>
        <w:t>ua</w:t>
      </w:r>
      <w:r w:rsidRPr="00956F42">
        <w:rPr>
          <w:rFonts w:ascii="Times New Roman" w:hAnsi="Times New Roman"/>
          <w:i/>
          <w:iCs/>
          <w:sz w:val="28"/>
          <w:szCs w:val="28"/>
          <w:lang w:val="uk-UA"/>
        </w:rPr>
        <w:t xml:space="preserve">», з 2022 р. до фонду захисних споруд цивільного захисту Києва внесли лише чотири новозбудовані об’єкти (два протирадіаційні укриття та дві споруди подвійного призначення) загальною місткістю менше, ніж 3000 осіб. </w:t>
      </w:r>
      <w:r w:rsidRPr="00B92736">
        <w:rPr>
          <w:rFonts w:ascii="Times New Roman" w:hAnsi="Times New Roman"/>
          <w:i/>
          <w:iCs/>
          <w:sz w:val="28"/>
          <w:szCs w:val="28"/>
        </w:rPr>
        <w:t xml:space="preserve">Ще шість уже збудованих укриттів поки що не внесли </w:t>
      </w:r>
      <w:proofErr w:type="gramStart"/>
      <w:r w:rsidRPr="00B92736">
        <w:rPr>
          <w:rFonts w:ascii="Times New Roman" w:hAnsi="Times New Roman"/>
          <w:i/>
          <w:iCs/>
          <w:sz w:val="28"/>
          <w:szCs w:val="28"/>
        </w:rPr>
        <w:t>до фонду</w:t>
      </w:r>
      <w:proofErr w:type="gramEnd"/>
      <w:r w:rsidRPr="00B92736">
        <w:rPr>
          <w:rFonts w:ascii="Times New Roman" w:hAnsi="Times New Roman"/>
          <w:i/>
          <w:iCs/>
          <w:sz w:val="28"/>
          <w:szCs w:val="28"/>
        </w:rPr>
        <w:t>, оскільки триває процедура оформлення необхідної документації. За словами представниці Уповноваженого Верховної Ради України (ВР України) з прав громадян, постраждалих унаслідок збройної агресії, Ольги Алтуніної, фактична кількість населення Києва з урахуванням внутрішньо переміщених осіб (ВПО) нині становить близько 3,7 млн осіб. Тож, за чотири роки повномасштабної війни офіційний фонд захисних споруд столиці поповнився новими місцями лише для 2,7 тис. людей, а реальна чисельність населення Києва стрімко наближається до чотирьох мільйонів. Наведено повний текст листа-відповіді від КМДА.</w:t>
      </w:r>
      <w:r w:rsidRPr="00B92736">
        <w:rPr>
          <w:rFonts w:ascii="Times New Roman" w:hAnsi="Times New Roman"/>
          <w:sz w:val="28"/>
          <w:szCs w:val="28"/>
        </w:rPr>
        <w:t xml:space="preserve"> Текст: </w:t>
      </w:r>
      <w:hyperlink r:id="rId35" w:tgtFrame="_blank" w:history="1">
        <w:r w:rsidRPr="00B92736">
          <w:rPr>
            <w:rStyle w:val="a3"/>
            <w:rFonts w:ascii="Times New Roman" w:hAnsi="Times New Roman"/>
            <w:sz w:val="28"/>
            <w:szCs w:val="28"/>
            <w:lang w:val="uk-UA"/>
          </w:rPr>
          <w:t>https://ua.korrespondent.net/kyiv/4905274-skhovauitsia-ne-vsi-skilky-novykh-ukryttiv-zbuduvaly-u-kyievi-z-2022-roku</w:t>
        </w:r>
      </w:hyperlink>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rPr>
      </w:pPr>
      <w:r w:rsidRPr="00B92736">
        <w:rPr>
          <w:rFonts w:ascii="Times New Roman" w:hAnsi="Times New Roman"/>
          <w:b/>
          <w:sz w:val="28"/>
          <w:szCs w:val="28"/>
        </w:rPr>
        <w:t xml:space="preserve">Розвиток політичної науки: європейські практики та національні </w:t>
      </w:r>
      <w:proofErr w:type="gramStart"/>
      <w:r w:rsidRPr="00B92736">
        <w:rPr>
          <w:rFonts w:ascii="Times New Roman" w:hAnsi="Times New Roman"/>
          <w:b/>
          <w:sz w:val="28"/>
          <w:szCs w:val="28"/>
        </w:rPr>
        <w:t>перспективи</w:t>
      </w:r>
      <w:r w:rsidRPr="00B92736">
        <w:rPr>
          <w:rFonts w:ascii="Times New Roman" w:hAnsi="Times New Roman"/>
          <w:sz w:val="28"/>
          <w:szCs w:val="28"/>
        </w:rPr>
        <w:t xml:space="preserve"> :</w:t>
      </w:r>
      <w:proofErr w:type="gramEnd"/>
      <w:r w:rsidRPr="00B92736">
        <w:rPr>
          <w:rFonts w:ascii="Times New Roman" w:hAnsi="Times New Roman"/>
          <w:sz w:val="28"/>
          <w:szCs w:val="28"/>
        </w:rPr>
        <w:t xml:space="preserve"> матеріали XIV Міжнар. наук.-практ. конф., (Чернівці, 29 трав. 2025 р.) / Чернівец. нац. ун-т ім. Ю. Федьковича, НДІ європ. інтеграції та регіон. дослідж., Ун-т ім. М. Склодовської-Кюрі, Ун-т </w:t>
      </w:r>
      <w:proofErr w:type="gramStart"/>
      <w:r w:rsidRPr="00B92736">
        <w:rPr>
          <w:rFonts w:ascii="Times New Roman" w:hAnsi="Times New Roman"/>
          <w:sz w:val="28"/>
          <w:szCs w:val="28"/>
        </w:rPr>
        <w:t>Ораді ;</w:t>
      </w:r>
      <w:proofErr w:type="gramEnd"/>
      <w:r w:rsidRPr="00B92736">
        <w:rPr>
          <w:rFonts w:ascii="Times New Roman" w:hAnsi="Times New Roman"/>
          <w:sz w:val="28"/>
          <w:szCs w:val="28"/>
        </w:rPr>
        <w:t xml:space="preserve"> [редкол.: А. М. Круглашов та ін.].  — </w:t>
      </w:r>
      <w:proofErr w:type="gramStart"/>
      <w:r w:rsidRPr="00B92736">
        <w:rPr>
          <w:rFonts w:ascii="Times New Roman" w:hAnsi="Times New Roman"/>
          <w:sz w:val="28"/>
          <w:szCs w:val="28"/>
        </w:rPr>
        <w:t>Чернівці :</w:t>
      </w:r>
      <w:proofErr w:type="gramEnd"/>
      <w:r w:rsidRPr="00B92736">
        <w:rPr>
          <w:rFonts w:ascii="Times New Roman" w:hAnsi="Times New Roman"/>
          <w:sz w:val="28"/>
          <w:szCs w:val="28"/>
        </w:rPr>
        <w:t xml:space="preserve"> Технодрук, 2025. — 229 </w:t>
      </w:r>
      <w:proofErr w:type="gramStart"/>
      <w:r w:rsidRPr="00B92736">
        <w:rPr>
          <w:rFonts w:ascii="Times New Roman" w:hAnsi="Times New Roman"/>
          <w:sz w:val="28"/>
          <w:szCs w:val="28"/>
        </w:rPr>
        <w:t>с. :</w:t>
      </w:r>
      <w:proofErr w:type="gramEnd"/>
      <w:r w:rsidRPr="00B92736">
        <w:rPr>
          <w:rFonts w:ascii="Times New Roman" w:hAnsi="Times New Roman"/>
          <w:sz w:val="28"/>
          <w:szCs w:val="28"/>
        </w:rPr>
        <w:t xml:space="preserve"> табл. </w:t>
      </w:r>
      <w:r w:rsidRPr="00B92736">
        <w:rPr>
          <w:rFonts w:ascii="Times New Roman" w:hAnsi="Times New Roman"/>
          <w:b/>
          <w:i/>
          <w:sz w:val="28"/>
          <w:szCs w:val="28"/>
        </w:rPr>
        <w:t xml:space="preserve">Шифр зберігання в Бібліотеці: А846117 </w:t>
      </w:r>
      <w:r w:rsidRPr="00B92736">
        <w:rPr>
          <w:rFonts w:ascii="Times New Roman" w:hAnsi="Times New Roman"/>
          <w:i/>
          <w:sz w:val="28"/>
          <w:szCs w:val="28"/>
        </w:rPr>
        <w:t>Зі змісту:</w:t>
      </w:r>
      <w:r w:rsidRPr="00B92736">
        <w:rPr>
          <w:rFonts w:ascii="Times New Roman" w:hAnsi="Times New Roman"/>
          <w:sz w:val="28"/>
          <w:szCs w:val="28"/>
        </w:rPr>
        <w:t xml:space="preserve"> </w:t>
      </w:r>
      <w:r w:rsidRPr="00B92736">
        <w:rPr>
          <w:rFonts w:ascii="Times New Roman" w:hAnsi="Times New Roman"/>
          <w:i/>
          <w:sz w:val="28"/>
          <w:szCs w:val="28"/>
        </w:rPr>
        <w:t>Управління медіаграмотністю населення в умовах воєнного стану: роль органів виконавчої влади та місцевого самоврядування / Софія Мотуз. – С. 110-113; Роль місцевого самоврядування у забезпеченні демократичної стійкості під час російсько-української війни / Ярослав Тарасюк. – С. 113-117; Напрями взаємодії органів місцевого самоврядування України та Польщі в умовах російсько-української війни / Ігор Мороз. – С. 180-183; Пам'ять і самоврядування в умовах війни: декомунізація як чинник стійкості громад / Назарій Христан. – С. 183-187; Особливості формування лідерства посадових осіб місцевого самоврядування та депутатів місцевих рад в умовах правового режиму воєнного стану в Україні / Альбіна Гнатчук. – С. 215-218; Організаційно-правові засади управління персоналом в органах місцевого самоврядування (на прикладі міської ради) / Юлія Стенчук. – С. 218-222.</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lang w:val="uk-UA"/>
        </w:rPr>
        <w:t>Руденко Р. І.</w:t>
      </w:r>
      <w:r w:rsidRPr="00B92736">
        <w:rPr>
          <w:rFonts w:ascii="Times New Roman" w:hAnsi="Times New Roman"/>
          <w:sz w:val="28"/>
          <w:szCs w:val="28"/>
          <w:lang w:val="uk-UA"/>
        </w:rPr>
        <w:t xml:space="preserve"> </w:t>
      </w:r>
      <w:r w:rsidRPr="00B92736">
        <w:rPr>
          <w:rFonts w:ascii="Times New Roman" w:hAnsi="Times New Roman"/>
          <w:b/>
          <w:bCs/>
          <w:sz w:val="28"/>
          <w:szCs w:val="28"/>
          <w:lang w:val="uk-UA"/>
        </w:rPr>
        <w:t>Органи місцевого самоврядування в системі публічного управління цифровою трансформацією охорони здоров’я України: інституційна роль, управлінські обмеження та напрями посилення спроможності</w:t>
      </w:r>
      <w:r w:rsidRPr="00B92736">
        <w:rPr>
          <w:rFonts w:ascii="Times New Roman" w:hAnsi="Times New Roman"/>
          <w:sz w:val="28"/>
          <w:szCs w:val="28"/>
          <w:lang w:val="uk-UA"/>
        </w:rPr>
        <w:t xml:space="preserve"> [Електронний ресурс] / Р. І. Руденко // Держава та регіони. Серія : Публіч. упр. та адміністрування : наук.-виробн. журн. – 2026. – Вип. 2. – С. 69-78. </w:t>
      </w:r>
      <w:r w:rsidRPr="00B92736">
        <w:rPr>
          <w:rFonts w:ascii="Times New Roman" w:hAnsi="Times New Roman"/>
          <w:i/>
          <w:iCs/>
          <w:sz w:val="28"/>
          <w:szCs w:val="28"/>
          <w:lang w:val="uk-UA"/>
        </w:rPr>
        <w:t>Обґрунтовано, що ефективність реалізації державної політики цифровізації медичної сфери значною мірою залежить від спроможності територіальних громад забезпечувати впровадження цифрових рішень на місцевому рівні. Висвітлено основні функції ОМС у процесах цифрової трансформації охорони здоров’я, зокрема організаційну, інфраструктурну, кадрову, координаційну та соціально-захисну. Визначено ключові управлінські обмеження, серед яких недостатня нормативна визначеність ролі громад, ресурсна нерівність, кадровий дефіцит, інфраструктурна вразливість та ризики цифрової нерівності населення. Зроблено висновок, що посилення місцевої цифрової спроможності та збалансована взаємодія ОМС із централізованою цифровою інфраструктурою є необхідними умовами підвищення результативності та стійкості цифрової трансформації охорони здоров’я.</w:t>
      </w:r>
      <w:r w:rsidRPr="00B92736">
        <w:rPr>
          <w:rFonts w:ascii="Times New Roman" w:hAnsi="Times New Roman"/>
          <w:sz w:val="28"/>
          <w:szCs w:val="28"/>
          <w:lang w:val="uk-UA"/>
        </w:rPr>
        <w:t xml:space="preserve"> Текст: </w:t>
      </w:r>
      <w:hyperlink r:id="rId36" w:history="1">
        <w:r w:rsidRPr="00B92736">
          <w:rPr>
            <w:rStyle w:val="a3"/>
            <w:rFonts w:ascii="Times New Roman" w:hAnsi="Times New Roman"/>
            <w:sz w:val="28"/>
            <w:szCs w:val="28"/>
            <w:lang w:val="uk-UA"/>
          </w:rPr>
          <w:t>https://pa.stateandregions.zp.ua/archive/2_2026/12.pdf</w:t>
        </w:r>
      </w:hyperlink>
      <w:r w:rsidRPr="00B92736">
        <w:rPr>
          <w:rFonts w:ascii="Times New Roman" w:hAnsi="Times New Roman"/>
          <w:sz w:val="28"/>
          <w:szCs w:val="28"/>
          <w:lang w:val="uk-UA"/>
        </w:rPr>
        <w:t xml:space="preserve"> </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rPr>
      </w:pPr>
      <w:r w:rsidRPr="00B92736">
        <w:rPr>
          <w:rFonts w:ascii="Times New Roman" w:hAnsi="Times New Roman"/>
          <w:b/>
          <w:bCs/>
          <w:sz w:val="28"/>
          <w:szCs w:val="28"/>
        </w:rPr>
        <w:t xml:space="preserve">Садовий відвідав Одесу після масованої атаки: зустрівся з військовими та командувачем </w:t>
      </w:r>
      <w:proofErr w:type="gramStart"/>
      <w:r w:rsidRPr="00B92736">
        <w:rPr>
          <w:rFonts w:ascii="Times New Roman" w:hAnsi="Times New Roman"/>
          <w:b/>
          <w:bCs/>
          <w:sz w:val="28"/>
          <w:szCs w:val="28"/>
        </w:rPr>
        <w:t>ВМС</w:t>
      </w:r>
      <w:r w:rsidRPr="00B92736">
        <w:rPr>
          <w:rFonts w:ascii="Times New Roman" w:hAnsi="Times New Roman"/>
          <w:sz w:val="28"/>
          <w:szCs w:val="28"/>
        </w:rPr>
        <w:t>[</w:t>
      </w:r>
      <w:proofErr w:type="gramEnd"/>
      <w:r w:rsidRPr="00B92736">
        <w:rPr>
          <w:rFonts w:ascii="Times New Roman" w:hAnsi="Times New Roman"/>
          <w:sz w:val="28"/>
          <w:szCs w:val="28"/>
          <w:lang w:val="uk-UA"/>
        </w:rPr>
        <w:t>Електронний ресурс</w:t>
      </w:r>
      <w:r w:rsidRPr="00B92736">
        <w:rPr>
          <w:rFonts w:ascii="Times New Roman" w:hAnsi="Times New Roman"/>
          <w:sz w:val="28"/>
          <w:szCs w:val="28"/>
        </w:rPr>
        <w:t>] //</w:t>
      </w:r>
      <w:r w:rsidRPr="00B92736">
        <w:rPr>
          <w:rFonts w:ascii="Times New Roman" w:hAnsi="Times New Roman"/>
          <w:sz w:val="28"/>
          <w:szCs w:val="28"/>
          <w:lang w:val="uk-UA"/>
        </w:rPr>
        <w:t xml:space="preserve"> Високий замок. – 2026. – 11 серп. – Електрон. дані. </w:t>
      </w:r>
      <w:r w:rsidRPr="00B92736">
        <w:rPr>
          <w:rFonts w:ascii="Times New Roman" w:hAnsi="Times New Roman"/>
          <w:i/>
          <w:iCs/>
          <w:sz w:val="28"/>
          <w:szCs w:val="28"/>
          <w:lang w:val="uk-UA"/>
        </w:rPr>
        <w:t>Йдеться про поїздку міського голови Львова Андрія Садового до Одеси, під час якої він провів зустріч із командувачем ВМС України віцеадміралом Олексієм Неїжпапою, поспілкувався з військовими моряками-львів'янами з 12-ої та 14-ої бригад ВМС, а також воїнами 122-ої окремої бригади територіальної оборони (ТРО), відвідав Військову академію в Одесі. Також</w:t>
      </w:r>
      <w:r w:rsidRPr="00B92736">
        <w:rPr>
          <w:rFonts w:ascii="Times New Roman" w:hAnsi="Times New Roman"/>
          <w:i/>
          <w:iCs/>
          <w:sz w:val="28"/>
          <w:szCs w:val="28"/>
        </w:rPr>
        <w:t xml:space="preserve"> записав розмову з львів'янином Мирославом Отковичем, який служить у ТрО «Південь». Серед іншого, говорили про створення реабілітаційного центру, присутність окремих гостей та висновки, які суспільство має зробити з нинішніх подій.</w:t>
      </w:r>
      <w:r w:rsidRPr="00B92736">
        <w:rPr>
          <w:rFonts w:ascii="Times New Roman" w:hAnsi="Times New Roman"/>
          <w:sz w:val="28"/>
          <w:szCs w:val="28"/>
          <w:lang w:val="uk-UA"/>
        </w:rPr>
        <w:t xml:space="preserve">Текст : </w:t>
      </w:r>
      <w:hyperlink r:id="rId37" w:tgtFrame="_blank" w:history="1">
        <w:r w:rsidRPr="00B92736">
          <w:rPr>
            <w:rStyle w:val="a3"/>
            <w:rFonts w:ascii="Times New Roman" w:hAnsi="Times New Roman"/>
            <w:sz w:val="28"/>
            <w:szCs w:val="28"/>
            <w:lang w:val="uk-UA"/>
          </w:rPr>
          <w:t>https://wz.lviv.ua/news/556759-sadovyi-vidvidav-odesu-pislia-masovanoi-ataky-zustrivsia-z-viiskovymy-ta-komanduvachem-vms</w:t>
        </w:r>
      </w:hyperlink>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eastAsia="uk-UA"/>
        </w:rPr>
      </w:pPr>
      <w:r w:rsidRPr="00B92736">
        <w:rPr>
          <w:rFonts w:ascii="Times New Roman" w:hAnsi="Times New Roman"/>
          <w:b/>
          <w:bCs/>
          <w:sz w:val="28"/>
          <w:szCs w:val="28"/>
          <w:lang w:eastAsia="uk-UA"/>
        </w:rPr>
        <w:t>Сергієнко О.</w:t>
      </w:r>
      <w:r w:rsidRPr="00B92736">
        <w:rPr>
          <w:rFonts w:ascii="Times New Roman" w:hAnsi="Times New Roman"/>
          <w:sz w:val="28"/>
          <w:szCs w:val="28"/>
          <w:lang w:eastAsia="uk-UA"/>
        </w:rPr>
        <w:t xml:space="preserve"> </w:t>
      </w:r>
      <w:r w:rsidRPr="00B92736">
        <w:rPr>
          <w:rFonts w:ascii="Times New Roman" w:hAnsi="Times New Roman"/>
          <w:b/>
          <w:sz w:val="28"/>
          <w:szCs w:val="28"/>
          <w:lang w:eastAsia="uk-UA"/>
        </w:rPr>
        <w:t>Скільки тепла потрібно Києву, або Що треба зробити, аби пережити зиму</w:t>
      </w:r>
      <w:r w:rsidRPr="00B92736">
        <w:rPr>
          <w:rFonts w:ascii="Times New Roman" w:hAnsi="Times New Roman"/>
          <w:sz w:val="28"/>
          <w:szCs w:val="28"/>
          <w:lang w:eastAsia="uk-UA"/>
        </w:rPr>
        <w:t xml:space="preserve"> [Електронний ресурс] / Олександр Сергієнко // Дзеркало тижня. – 2026. – 4 серп. — Електрон. дані. </w:t>
      </w:r>
      <w:r w:rsidRPr="006835F4">
        <w:rPr>
          <w:rFonts w:ascii="Times New Roman" w:hAnsi="Times New Roman"/>
          <w:i/>
          <w:sz w:val="28"/>
          <w:szCs w:val="28"/>
          <w:lang w:eastAsia="uk-UA"/>
        </w:rPr>
        <w:t>Проаналізовано стан підготовки Києва до опалювального сезону в умовах воєнних загроз і пошкодження енергетичної інфраструктури. Розглянуто заходи Державного</w:t>
      </w:r>
      <w:bookmarkStart w:id="0" w:name="_GoBack"/>
      <w:bookmarkEnd w:id="0"/>
      <w:r w:rsidRPr="00B92736">
        <w:rPr>
          <w:rFonts w:ascii="Times New Roman" w:hAnsi="Times New Roman"/>
          <w:i/>
          <w:sz w:val="28"/>
          <w:szCs w:val="28"/>
          <w:lang w:eastAsia="uk-UA"/>
        </w:rPr>
        <w:t xml:space="preserve"> агентства відновлення щодо створення резервної системи теплопостачання для Дарницького та Дніпровського районів, а також проблеми координації між центральною та міською владою. Висвітлено труднощі фінансування проєктів, бюрократичні перешкоди у використанні бюджетних коштів і питання відповідальності за реалізацію Плану стійкості Києва. Наголошено на необхідності своєчасного введення нових теплових потужностей, захисту критичної інфраструктури та посилення взаємодії державних і місцевих органів влади для забезпечення стабільного проходження зимового періоду.</w:t>
      </w:r>
      <w:r w:rsidRPr="00B92736">
        <w:rPr>
          <w:rFonts w:ascii="Times New Roman" w:hAnsi="Times New Roman"/>
          <w:sz w:val="28"/>
          <w:szCs w:val="28"/>
          <w:lang w:eastAsia="uk-UA"/>
        </w:rPr>
        <w:t xml:space="preserve"> Текст: </w:t>
      </w:r>
      <w:hyperlink r:id="rId38" w:history="1">
        <w:r w:rsidRPr="00B92736">
          <w:rPr>
            <w:rStyle w:val="a3"/>
            <w:rFonts w:ascii="Times New Roman" w:hAnsi="Times New Roman"/>
            <w:sz w:val="28"/>
            <w:szCs w:val="28"/>
            <w:lang w:eastAsia="uk-UA"/>
          </w:rPr>
          <w:t>https://zn.ua/ukr/energetics/skilki-tepla-potribno-kijevu-abo-shcho-treba-zrobiti-abi-perezhiti-zimu.html</w:t>
        </w:r>
      </w:hyperlink>
      <w:r w:rsidRPr="00B92736">
        <w:rPr>
          <w:rFonts w:ascii="Times New Roman" w:hAnsi="Times New Roman"/>
          <w:sz w:val="28"/>
          <w:szCs w:val="28"/>
          <w:lang w:eastAsia="uk-UA"/>
        </w:rPr>
        <w:t xml:space="preserve"> </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lang w:val="uk-UA"/>
        </w:rPr>
        <w:t xml:space="preserve">Середа О. Кличко розповів, чи встигне Київ відновити енергооб'єкти до початку опалювального сезону </w:t>
      </w:r>
      <w:r w:rsidRPr="00B92736">
        <w:rPr>
          <w:rFonts w:ascii="Times New Roman" w:hAnsi="Times New Roman"/>
          <w:sz w:val="28"/>
          <w:szCs w:val="28"/>
          <w:lang w:val="uk-UA"/>
        </w:rPr>
        <w:t xml:space="preserve">[Електронний ресурс] / Олена Середа // Дзеркало тижня. – 2026. – 5 серп. – Електрон. дані. </w:t>
      </w:r>
      <w:r w:rsidRPr="00B92736">
        <w:rPr>
          <w:rFonts w:ascii="Times New Roman" w:hAnsi="Times New Roman"/>
          <w:i/>
          <w:iCs/>
          <w:sz w:val="28"/>
          <w:szCs w:val="28"/>
          <w:lang w:val="uk-UA"/>
        </w:rPr>
        <w:t>Проаналізовано стан виконання Плану відновлення та захисту енергетичної інфраструктури Києва напередодні опалювального сезону. Повідомлено, що наразі виконано 65 % запланованих робіт, а завершення основних заходів, включно з інженерно-технічним захистом енергооб’єктів, очікується до початку опалювального періоду. Висвітлено реалізацію проєктів із модернізації електромереж, розвитку когенераційних потужностей, резервного електро- та теплопостачання, а також підвищення енергостійкості житлових будинків. Зазначено, що підготовка столиці до зими супроводжується проблемами координації та бюрократичними затримками, які можуть вплинути на своєчасне залучення державного фінансування.</w:t>
      </w:r>
      <w:r w:rsidRPr="00B92736">
        <w:rPr>
          <w:rFonts w:ascii="Times New Roman" w:hAnsi="Times New Roman"/>
          <w:sz w:val="28"/>
          <w:szCs w:val="28"/>
          <w:lang w:val="uk-UA"/>
        </w:rPr>
        <w:t xml:space="preserve"> Текст: </w:t>
      </w:r>
      <w:hyperlink r:id="rId39" w:history="1">
        <w:r w:rsidRPr="00B92736">
          <w:rPr>
            <w:rStyle w:val="a3"/>
            <w:rFonts w:ascii="Times New Roman" w:hAnsi="Times New Roman"/>
            <w:sz w:val="28"/>
            <w:szCs w:val="28"/>
            <w:lang w:val="uk-UA"/>
          </w:rPr>
          <w:t>https://zn.ua/ukr/ECONOMICS/klichko-rozpoviv-chi-vstihne-kijiv-vidnoviti-enerhoobjekti-do-pochatku-opaljuvalnoho-sezonu.html</w:t>
        </w:r>
      </w:hyperlink>
      <w:r w:rsidRPr="00B92736">
        <w:rPr>
          <w:rFonts w:ascii="Times New Roman" w:hAnsi="Times New Roman"/>
          <w:sz w:val="28"/>
          <w:szCs w:val="28"/>
          <w:lang w:val="uk-UA"/>
        </w:rPr>
        <w:t xml:space="preserve"> </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lang w:val="uk-UA"/>
        </w:rPr>
        <w:t>Сорока Л. В. Об’єднання співвласників багатоквартирного будинку в системі суб’єктів адміністративного права</w:t>
      </w:r>
      <w:r w:rsidRPr="00B92736">
        <w:rPr>
          <w:rFonts w:ascii="Times New Roman" w:hAnsi="Times New Roman"/>
          <w:sz w:val="28"/>
          <w:szCs w:val="28"/>
          <w:lang w:val="uk-UA"/>
        </w:rPr>
        <w:t xml:space="preserve"> [Електронний ресурс] / Л. В. Сорока, К. М. Куркова, А. О. Даниленко // Наук. вісн. Ужгород. нац. ун-ту. Серія : Право : зб. наук. пр.  – Ужгород, 2026. – №</w:t>
      </w:r>
      <w:r w:rsidRPr="00B92736">
        <w:rPr>
          <w:rFonts w:ascii="Times New Roman" w:hAnsi="Times New Roman"/>
          <w:sz w:val="28"/>
          <w:szCs w:val="28"/>
        </w:rPr>
        <w:t xml:space="preserve"> </w:t>
      </w:r>
      <w:r w:rsidRPr="00B92736">
        <w:rPr>
          <w:rFonts w:ascii="Times New Roman" w:hAnsi="Times New Roman"/>
          <w:sz w:val="28"/>
          <w:szCs w:val="28"/>
          <w:lang w:val="uk-UA"/>
        </w:rPr>
        <w:t>94, т. 2. – С.</w:t>
      </w:r>
      <w:r w:rsidRPr="00B92736">
        <w:rPr>
          <w:rFonts w:ascii="Times New Roman" w:hAnsi="Times New Roman"/>
          <w:sz w:val="28"/>
          <w:szCs w:val="28"/>
        </w:rPr>
        <w:t xml:space="preserve"> </w:t>
      </w:r>
      <w:r w:rsidRPr="00B92736">
        <w:rPr>
          <w:rFonts w:ascii="Times New Roman" w:hAnsi="Times New Roman"/>
          <w:sz w:val="28"/>
          <w:szCs w:val="28"/>
          <w:lang w:val="uk-UA"/>
        </w:rPr>
        <w:t xml:space="preserve">446-451. </w:t>
      </w:r>
      <w:r w:rsidRPr="00B92736">
        <w:rPr>
          <w:rFonts w:ascii="Times New Roman" w:hAnsi="Times New Roman"/>
          <w:i/>
          <w:iCs/>
          <w:sz w:val="28"/>
          <w:szCs w:val="28"/>
          <w:lang w:val="uk-UA"/>
        </w:rPr>
        <w:t>Досліджено місце ОСББ у системі суб’єктів адміністративного права та обґрунтовано його значення як учасника публічного врядування на локальному рівні. Визначено основні ознаки адміністративно-правового статусу ОСББ, зокрема наявність організаційної структури з публічно значущими функціями, участь в адміністративно-правових відносинах, взаємодію з органами державної влади та місцевого самоврядування, а також підконтрольність і підзвітність у межах судового контролю. Проаналізовано правову природу рішень органів управління ОСББ та практику їх реалізації у сферах утримання житлової інфраструктури, безпеки й участі у публічних процедурах. Запропоновано напрями вдосконалення законодавства з метою нормативного закріплення змішаного приватно-публічного характеру правового статусу ОСББ у сучасній правовій системі України.</w:t>
      </w:r>
      <w:r w:rsidRPr="00B92736">
        <w:rPr>
          <w:rFonts w:ascii="Times New Roman" w:hAnsi="Times New Roman"/>
          <w:sz w:val="28"/>
          <w:szCs w:val="28"/>
          <w:lang w:val="uk-UA"/>
        </w:rPr>
        <w:t xml:space="preserve"> Текст: </w:t>
      </w:r>
      <w:hyperlink r:id="rId40" w:history="1">
        <w:r w:rsidRPr="00B92736">
          <w:rPr>
            <w:rStyle w:val="a3"/>
            <w:rFonts w:ascii="Times New Roman" w:hAnsi="Times New Roman"/>
            <w:sz w:val="28"/>
            <w:szCs w:val="28"/>
            <w:lang w:val="uk-UA"/>
          </w:rPr>
          <w:t>https://visnyk-juris-uzhnu.com/wp-content/uploads/2026/05/66.pdf</w:t>
        </w:r>
      </w:hyperlink>
      <w:r w:rsidRPr="00B92736">
        <w:rPr>
          <w:rFonts w:ascii="Times New Roman" w:hAnsi="Times New Roman"/>
          <w:sz w:val="28"/>
          <w:szCs w:val="28"/>
          <w:lang w:val="uk-UA"/>
        </w:rPr>
        <w:t xml:space="preserve"> </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lang w:val="uk-UA"/>
        </w:rPr>
        <w:t>Стешенко Т. В. Сучасні виклики життєдіяльності територіальних громад в демографічному та соціальному аспектах</w:t>
      </w:r>
      <w:r w:rsidRPr="00B92736">
        <w:rPr>
          <w:rFonts w:ascii="Times New Roman" w:hAnsi="Times New Roman"/>
          <w:sz w:val="28"/>
          <w:szCs w:val="28"/>
          <w:lang w:val="uk-UA"/>
        </w:rPr>
        <w:t xml:space="preserve"> [Електронний ресурс] / Т. В. Стешенко, А. Е. Нардід // Наук. вісн. Ужгород. нац. ун-ту. Серія : Право : зб. наук. пр.  – Ужгород, 2026. – №</w:t>
      </w:r>
      <w:r w:rsidRPr="00B92736">
        <w:rPr>
          <w:rFonts w:ascii="Times New Roman" w:hAnsi="Times New Roman"/>
          <w:sz w:val="28"/>
          <w:szCs w:val="28"/>
        </w:rPr>
        <w:t xml:space="preserve"> </w:t>
      </w:r>
      <w:r w:rsidRPr="00B92736">
        <w:rPr>
          <w:rFonts w:ascii="Times New Roman" w:hAnsi="Times New Roman"/>
          <w:sz w:val="28"/>
          <w:szCs w:val="28"/>
          <w:lang w:val="uk-UA"/>
        </w:rPr>
        <w:t>94, т. 1. – С.</w:t>
      </w:r>
      <w:r w:rsidRPr="00B92736">
        <w:rPr>
          <w:rFonts w:ascii="Times New Roman" w:hAnsi="Times New Roman"/>
          <w:sz w:val="28"/>
          <w:szCs w:val="28"/>
        </w:rPr>
        <w:t xml:space="preserve"> </w:t>
      </w:r>
      <w:r w:rsidRPr="00B92736">
        <w:rPr>
          <w:rFonts w:ascii="Times New Roman" w:hAnsi="Times New Roman"/>
          <w:sz w:val="28"/>
          <w:szCs w:val="28"/>
          <w:lang w:val="uk-UA"/>
        </w:rPr>
        <w:t>217-222.</w:t>
      </w:r>
      <w:r w:rsidRPr="00B92736">
        <w:rPr>
          <w:rFonts w:ascii="Times New Roman" w:hAnsi="Times New Roman"/>
          <w:sz w:val="28"/>
          <w:szCs w:val="28"/>
        </w:rPr>
        <w:t xml:space="preserve"> </w:t>
      </w:r>
      <w:r w:rsidRPr="00B92736">
        <w:rPr>
          <w:rFonts w:ascii="Times New Roman" w:hAnsi="Times New Roman"/>
          <w:i/>
          <w:iCs/>
          <w:sz w:val="28"/>
          <w:szCs w:val="28"/>
          <w:lang w:val="uk-UA"/>
        </w:rPr>
        <w:t xml:space="preserve">Досліджено сучасні демографічні та соціальні виклики розвитку територіальних громад України в умовах війни та повоєнного відновлення. Проаналізовано вплив депопуляції, старіння населення, міграційних процесів, безробіття, руйнування соціальної інфраструктури та інших чинників на життєздатність громад, а також визначено особливості функціонування прифронтових, деокупованих і приймаючих громад. Обґрунтовано необхідність реалізації комплексної державної демографічної політики, зміцнення фінансової та інституційної спроможності місцевого самоврядування й адаптації систем охорони здоров’я та освіти до нових умов. </w:t>
      </w:r>
      <w:r w:rsidRPr="00B92736">
        <w:rPr>
          <w:rFonts w:ascii="Times New Roman" w:hAnsi="Times New Roman"/>
          <w:sz w:val="28"/>
          <w:szCs w:val="28"/>
          <w:lang w:val="uk-UA"/>
        </w:rPr>
        <w:t xml:space="preserve">Текст: </w:t>
      </w:r>
      <w:hyperlink r:id="rId41" w:history="1">
        <w:r w:rsidRPr="00B92736">
          <w:rPr>
            <w:rStyle w:val="a3"/>
            <w:rFonts w:ascii="Times New Roman" w:hAnsi="Times New Roman"/>
            <w:sz w:val="28"/>
            <w:szCs w:val="28"/>
            <w:lang w:val="uk-UA"/>
          </w:rPr>
          <w:t>https://visnyk-juris-uzhnu.com/wp-content/uploads/2026/05/30.pdf</w:t>
        </w:r>
      </w:hyperlink>
      <w:r w:rsidRPr="00B92736">
        <w:rPr>
          <w:rFonts w:ascii="Times New Roman" w:hAnsi="Times New Roman"/>
          <w:sz w:val="28"/>
          <w:szCs w:val="28"/>
          <w:lang w:val="uk-UA"/>
        </w:rPr>
        <w:t xml:space="preserve"> </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lang w:val="uk-UA"/>
        </w:rPr>
        <w:t>Ступник Я. В. Координація діяльності правоохоронних органів в умовах воєнного стану</w:t>
      </w:r>
      <w:r w:rsidRPr="00B92736">
        <w:rPr>
          <w:rFonts w:ascii="Times New Roman" w:hAnsi="Times New Roman"/>
          <w:sz w:val="28"/>
          <w:szCs w:val="28"/>
          <w:lang w:val="uk-UA"/>
        </w:rPr>
        <w:t xml:space="preserve">  [Електронний ресурс] / Я. В. Ступник, Ю. Б. Фурик, М. В. Ступник // Наук. вісн. Ужгород. нац. ун-ту. Серія : Право : зб. наук. пр.  – Ужгород, 2026. – №</w:t>
      </w:r>
      <w:r w:rsidRPr="00B92736">
        <w:rPr>
          <w:rFonts w:ascii="Times New Roman" w:hAnsi="Times New Roman"/>
          <w:sz w:val="28"/>
          <w:szCs w:val="28"/>
        </w:rPr>
        <w:t xml:space="preserve"> </w:t>
      </w:r>
      <w:r w:rsidRPr="00B92736">
        <w:rPr>
          <w:rFonts w:ascii="Times New Roman" w:hAnsi="Times New Roman"/>
          <w:sz w:val="28"/>
          <w:szCs w:val="28"/>
          <w:lang w:val="uk-UA"/>
        </w:rPr>
        <w:t>93, т. 5. – С.</w:t>
      </w:r>
      <w:r w:rsidRPr="00B92736">
        <w:rPr>
          <w:rFonts w:ascii="Times New Roman" w:hAnsi="Times New Roman"/>
          <w:sz w:val="28"/>
          <w:szCs w:val="28"/>
        </w:rPr>
        <w:t xml:space="preserve"> </w:t>
      </w:r>
      <w:r w:rsidRPr="00B92736">
        <w:rPr>
          <w:rFonts w:ascii="Times New Roman" w:hAnsi="Times New Roman"/>
          <w:sz w:val="28"/>
          <w:szCs w:val="28"/>
          <w:lang w:val="uk-UA"/>
        </w:rPr>
        <w:t xml:space="preserve">200-206. </w:t>
      </w:r>
      <w:r w:rsidRPr="00B92736">
        <w:rPr>
          <w:rFonts w:ascii="Times New Roman" w:hAnsi="Times New Roman"/>
          <w:i/>
          <w:iCs/>
          <w:sz w:val="28"/>
          <w:szCs w:val="28"/>
          <w:lang w:val="uk-UA"/>
        </w:rPr>
        <w:t>Досліджено особливості координаційної взаємодії правоохоронних органів України в умовах дії правового режиму воєнного стану та проаналізовано нормативно-правові засади її здійснення. Розкрито багаторівневу систему координації правоохоронної діяльності на загальнодержавному, регіональному та відомчому рівнях, а також схарактеризовано взаємодію між Офісом Генерального прокурора (ОГП), Службою безпеки України (СБУ), Національною поліцією України (НПУ), Державним бюро розслідувань (ДБР) і Національною гвардією України (НГУ). Виявлено основні проблеми міжвідомчої взаємодії, зокрема дублювання повноважень, недосконалість інформаційного обміну, труднощі цивільно-військової координації та прогалини нормативного регулювання в умовах воєнного стану. Запропоновано напрями вдосконалення координаційних механізмів і наголошено на важливості залучення органів місцевого самоврядування (ОМС), волонтерських рухів та інститутів громадянського суспільства до забезпечення правопорядку в умовах воєнних викликів.</w:t>
      </w:r>
      <w:r w:rsidRPr="00B92736">
        <w:rPr>
          <w:rFonts w:ascii="Times New Roman" w:hAnsi="Times New Roman"/>
          <w:sz w:val="28"/>
          <w:szCs w:val="28"/>
          <w:lang w:val="uk-UA"/>
        </w:rPr>
        <w:t xml:space="preserve"> Текст: </w:t>
      </w:r>
      <w:hyperlink r:id="rId42" w:history="1">
        <w:r w:rsidRPr="00B92736">
          <w:rPr>
            <w:rStyle w:val="a3"/>
            <w:rFonts w:ascii="Times New Roman" w:hAnsi="Times New Roman"/>
            <w:sz w:val="28"/>
            <w:szCs w:val="28"/>
            <w:lang w:val="uk-UA"/>
          </w:rPr>
          <w:t>https://visnyk-juris-uzhnu.com/wp-content/uploads/2026/03/27-4.pdf</w:t>
        </w:r>
      </w:hyperlink>
      <w:r w:rsidRPr="00B92736">
        <w:rPr>
          <w:rFonts w:ascii="Times New Roman" w:hAnsi="Times New Roman"/>
          <w:sz w:val="28"/>
          <w:szCs w:val="28"/>
          <w:lang w:val="uk-UA"/>
        </w:rPr>
        <w:t xml:space="preserve"> </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rPr>
        <w:t xml:space="preserve">У КМДА закликають посилити захист культурної спадщини </w:t>
      </w:r>
      <w:r w:rsidRPr="00B92736">
        <w:rPr>
          <w:rFonts w:ascii="Times New Roman" w:hAnsi="Times New Roman"/>
          <w:sz w:val="28"/>
          <w:szCs w:val="28"/>
          <w:lang w:val="uk-UA"/>
        </w:rPr>
        <w:t xml:space="preserve">[Електронний ресурс] // </w:t>
      </w:r>
      <w:proofErr w:type="gramStart"/>
      <w:r w:rsidRPr="00B92736">
        <w:rPr>
          <w:rFonts w:ascii="Times New Roman" w:hAnsi="Times New Roman"/>
          <w:sz w:val="28"/>
          <w:szCs w:val="28"/>
        </w:rPr>
        <w:t>RISU</w:t>
      </w:r>
      <w:r w:rsidRPr="00B92736">
        <w:rPr>
          <w:rFonts w:ascii="Times New Roman" w:hAnsi="Times New Roman"/>
          <w:sz w:val="28"/>
          <w:szCs w:val="28"/>
          <w:lang w:val="uk-UA"/>
        </w:rPr>
        <w:t>.</w:t>
      </w:r>
      <w:r w:rsidRPr="00B92736">
        <w:rPr>
          <w:rFonts w:ascii="Times New Roman" w:hAnsi="Times New Roman"/>
          <w:sz w:val="28"/>
          <w:szCs w:val="28"/>
        </w:rPr>
        <w:t>ua</w:t>
      </w:r>
      <w:r w:rsidRPr="00B92736">
        <w:rPr>
          <w:rFonts w:ascii="Times New Roman" w:hAnsi="Times New Roman"/>
          <w:sz w:val="28"/>
          <w:szCs w:val="28"/>
          <w:lang w:val="uk-UA"/>
        </w:rPr>
        <w:t xml:space="preserve"> :</w:t>
      </w:r>
      <w:proofErr w:type="gramEnd"/>
      <w:r w:rsidRPr="00B92736">
        <w:rPr>
          <w:rFonts w:ascii="Times New Roman" w:hAnsi="Times New Roman"/>
          <w:sz w:val="28"/>
          <w:szCs w:val="28"/>
          <w:lang w:val="uk-UA"/>
        </w:rPr>
        <w:t xml:space="preserve"> [вебсайт]. – 2026. – 6 серп. – Електрон. дані.</w:t>
      </w:r>
      <w:r w:rsidRPr="00B92736">
        <w:rPr>
          <w:rFonts w:ascii="Times New Roman" w:hAnsi="Times New Roman"/>
          <w:b/>
          <w:bCs/>
          <w:sz w:val="28"/>
          <w:szCs w:val="28"/>
        </w:rPr>
        <w:t xml:space="preserve"> </w:t>
      </w:r>
      <w:r w:rsidRPr="00B92736">
        <w:rPr>
          <w:rFonts w:ascii="Times New Roman" w:hAnsi="Times New Roman"/>
          <w:i/>
          <w:iCs/>
          <w:sz w:val="28"/>
          <w:szCs w:val="28"/>
        </w:rPr>
        <w:t xml:space="preserve">Йдеться про заклик Департаменту охорони культурної спадщини Київської міської державної адміністрації (КМДА) щодо посилення захисту об’єктів культурної спадщини в умовах зростання загроз, спричинених російською агресією. Зазначено, що від початку повномасштабного вторгнення РФ у Києві пошкоджено вже 295 об'єктів культурної спадщини, з яких понад 160 — лише цього року. Водночас частина історичних будівель руйнується не через російські обстріли, а внаслідок багаторічної бездіяльності власників. Наголошено на необхідності вдосконалення механізмів збереження історичних пам’яток, своєчасної фіксації пошкоджень, координації дій органів влади та залучення міжнародної підтримки для їх охорони й відновлення. Підкреслено, що збереження культурної спадщини є важливою складовою захисту національної ідентичності та історичної пам’яті України. </w:t>
      </w:r>
      <w:r w:rsidRPr="00B92736">
        <w:rPr>
          <w:rFonts w:ascii="Times New Roman" w:hAnsi="Times New Roman"/>
          <w:sz w:val="28"/>
          <w:szCs w:val="28"/>
          <w:lang w:val="uk-UA"/>
        </w:rPr>
        <w:t xml:space="preserve">Текст: </w:t>
      </w:r>
      <w:hyperlink r:id="rId43" w:tgtFrame="_blank" w:history="1">
        <w:r w:rsidRPr="00B92736">
          <w:rPr>
            <w:rStyle w:val="a3"/>
            <w:rFonts w:ascii="Times New Roman" w:hAnsi="Times New Roman"/>
            <w:sz w:val="28"/>
            <w:szCs w:val="28"/>
          </w:rPr>
          <w:t>https://risu.ua/u-kmda-zaklikayut-posiliti-zahist-kulturnoyi-spadshchini_n165627</w:t>
        </w:r>
      </w:hyperlink>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lang w:val="uk-UA"/>
        </w:rPr>
        <w:t>Хижняк В. В. Публічна безпека і громадський порядок як об’єкти публічного управління та адміністрування: проблеми термінологічної узгодженості</w:t>
      </w:r>
      <w:r w:rsidRPr="00B92736">
        <w:rPr>
          <w:rFonts w:ascii="Times New Roman" w:hAnsi="Times New Roman"/>
          <w:sz w:val="28"/>
          <w:szCs w:val="28"/>
          <w:lang w:val="uk-UA"/>
        </w:rPr>
        <w:t xml:space="preserve"> [Електронний ресурс] / В. В. Хижняк // Держава та регіони. Серія : Публіч. упр. та адміністрування : наук.-виробн. журн. – 2026. – Вип. 1. – С. 156-161. </w:t>
      </w:r>
      <w:r w:rsidRPr="00B92736">
        <w:rPr>
          <w:rFonts w:ascii="Times New Roman" w:hAnsi="Times New Roman"/>
          <w:i/>
          <w:iCs/>
          <w:sz w:val="28"/>
          <w:szCs w:val="28"/>
          <w:lang w:val="uk-UA"/>
        </w:rPr>
        <w:t xml:space="preserve">Проаналізовано нормативно-правові акти, що регулюють діяльність Національної поліції, Національної гвардії України, Кодекс України про адміністративні правопорушення та Кримінальний кодекс України, визначено їх значення для розмежування повноважень суб’єктів публічної влади й формування ефективних механізмів забезпечення безпеки і правопорядку. Обґрунтовано функціональну співвідносність понять «публічна безпека» і «громадська безпека», розкрито роль публічної безпеки як управлінського індикатора результативності діяльності органів державної влади та місцевого самоврядування у сфері профілактики правопорушень і реагування на загрози. Запропоновано підходи до вдосконалення понятійного апарату та правового регулювання з метою підвищення ефективності публічного управління у сфері забезпечення безпеки і правопорядку. </w:t>
      </w:r>
      <w:r w:rsidRPr="00B92736">
        <w:rPr>
          <w:rFonts w:ascii="Times New Roman" w:hAnsi="Times New Roman"/>
          <w:sz w:val="28"/>
          <w:szCs w:val="28"/>
          <w:lang w:val="uk-UA"/>
        </w:rPr>
        <w:t xml:space="preserve">Текст: </w:t>
      </w:r>
      <w:hyperlink r:id="rId44" w:history="1">
        <w:r w:rsidRPr="00B92736">
          <w:rPr>
            <w:rStyle w:val="a3"/>
            <w:rFonts w:ascii="Times New Roman" w:hAnsi="Times New Roman"/>
            <w:sz w:val="28"/>
            <w:szCs w:val="28"/>
            <w:lang w:val="uk-UA"/>
          </w:rPr>
          <w:t>https://pa.stateandregions.zp.ua/archive/1_2026/23.pdf</w:t>
        </w:r>
      </w:hyperlink>
      <w:r w:rsidRPr="00B92736">
        <w:rPr>
          <w:rFonts w:ascii="Times New Roman" w:hAnsi="Times New Roman"/>
          <w:sz w:val="28"/>
          <w:szCs w:val="28"/>
          <w:lang w:val="uk-UA"/>
        </w:rPr>
        <w:t xml:space="preserve"> </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lang w:val="uk-UA"/>
        </w:rPr>
        <w:t xml:space="preserve">Шевчук А. Вартість плану стійкості Києва зменшили майже вдвічі </w:t>
      </w:r>
      <w:r w:rsidRPr="00B92736">
        <w:rPr>
          <w:rFonts w:ascii="Times New Roman" w:hAnsi="Times New Roman"/>
          <w:sz w:val="28"/>
          <w:szCs w:val="28"/>
          <w:lang w:val="uk-UA"/>
        </w:rPr>
        <w:t xml:space="preserve">[Електронний ресурс] / А. Шевчук // </w:t>
      </w:r>
      <w:r w:rsidRPr="00B92736">
        <w:rPr>
          <w:rFonts w:ascii="Times New Roman" w:hAnsi="Times New Roman"/>
          <w:sz w:val="28"/>
          <w:szCs w:val="28"/>
        </w:rPr>
        <w:t>Korrespondent</w:t>
      </w:r>
      <w:r w:rsidRPr="00B92736">
        <w:rPr>
          <w:rFonts w:ascii="Times New Roman" w:hAnsi="Times New Roman"/>
          <w:sz w:val="28"/>
          <w:szCs w:val="28"/>
          <w:lang w:val="uk-UA"/>
        </w:rPr>
        <w:t>.</w:t>
      </w:r>
      <w:r w:rsidRPr="00B92736">
        <w:rPr>
          <w:rFonts w:ascii="Times New Roman" w:hAnsi="Times New Roman"/>
          <w:sz w:val="28"/>
          <w:szCs w:val="28"/>
        </w:rPr>
        <w:t>net</w:t>
      </w:r>
      <w:r w:rsidRPr="00B92736">
        <w:rPr>
          <w:rFonts w:ascii="Times New Roman" w:hAnsi="Times New Roman"/>
          <w:sz w:val="28"/>
          <w:szCs w:val="28"/>
          <w:lang w:val="uk-UA"/>
        </w:rPr>
        <w:t xml:space="preserve"> : [вебсайт]. – 2026. – 5 серп. — Електрон. дані. </w:t>
      </w:r>
      <w:r w:rsidRPr="00B92736">
        <w:rPr>
          <w:rFonts w:ascii="Times New Roman" w:hAnsi="Times New Roman"/>
          <w:i/>
          <w:iCs/>
          <w:sz w:val="28"/>
          <w:szCs w:val="28"/>
          <w:lang w:val="uk-UA"/>
        </w:rPr>
        <w:t xml:space="preserve">Як повідомив секретар Ради національної безпеки і оборони Ігор Клименко, РНБО затвердила План стійкості столиці, реалізація якого вже розпочалася. </w:t>
      </w:r>
      <w:r w:rsidRPr="00B92736">
        <w:rPr>
          <w:rFonts w:ascii="Times New Roman" w:hAnsi="Times New Roman"/>
          <w:i/>
          <w:iCs/>
          <w:sz w:val="28"/>
          <w:szCs w:val="28"/>
        </w:rPr>
        <w:t xml:space="preserve">Серед пріоритетів підготовки - забезпечення безперебійної роботи систем електро-, </w:t>
      </w:r>
      <w:proofErr w:type="gramStart"/>
      <w:r w:rsidRPr="00B92736">
        <w:rPr>
          <w:rFonts w:ascii="Times New Roman" w:hAnsi="Times New Roman"/>
          <w:i/>
          <w:iCs/>
          <w:sz w:val="28"/>
          <w:szCs w:val="28"/>
        </w:rPr>
        <w:t>тепло- та</w:t>
      </w:r>
      <w:proofErr w:type="gramEnd"/>
      <w:r w:rsidRPr="00B92736">
        <w:rPr>
          <w:rFonts w:ascii="Times New Roman" w:hAnsi="Times New Roman"/>
          <w:i/>
          <w:iCs/>
          <w:sz w:val="28"/>
          <w:szCs w:val="28"/>
        </w:rPr>
        <w:t xml:space="preserve"> водопостачання, захист критичної інфраструктури, посилення спроможностей протиповітряної оборони (ППО) та розвиток мережі укриттів. Мер Києва Віталій Кличко за результатами засідання РНБО заявив, що загальна вартість заходів Плану стійкості Києва зменшилася з 67 млрд до 37 млрд грн, із яких 31 млрд грн – це кошторис заходів і проєктів загальнодержавного значення; Київ бере на себе підвищені фінансові навантаження з виконання Плану стійкості: частка проєктів, які має реалізувати столиця, зросла до понад 22 млрд грн, держава профінансує решту – близько 15 млрд грн. Щодо виконання пріоритетних напрямків плану В. Кличко зазначив, що рівень виконання робіт із відновлення пошкоджених енергооб’єктів уже становить 65 %; збільшується парк мобільних котелень і генераторів, виконуються проєкти енергостійкості житлових будинків і заходи з розвитку когенерації, силами міста створюється резервне живлення водопостачання, а найбільш складною частиною Плану є побудова системи резервного теплопостачання.</w:t>
      </w:r>
      <w:r w:rsidRPr="00B92736">
        <w:rPr>
          <w:rFonts w:ascii="Times New Roman" w:hAnsi="Times New Roman"/>
          <w:sz w:val="28"/>
          <w:szCs w:val="28"/>
        </w:rPr>
        <w:t xml:space="preserve"> Текст: </w:t>
      </w:r>
      <w:hyperlink r:id="rId45" w:tgtFrame="_blank" w:history="1">
        <w:r w:rsidRPr="00B92736">
          <w:rPr>
            <w:rStyle w:val="a3"/>
            <w:rFonts w:ascii="Times New Roman" w:hAnsi="Times New Roman"/>
            <w:sz w:val="28"/>
            <w:szCs w:val="28"/>
            <w:lang w:val="uk-UA"/>
          </w:rPr>
          <w:t>https://ua.korrespondent.net/city/kiev/4900334-vartist-planu-stiikosti-kyieva-zmenshyly-maizhe-vdvichi</w:t>
        </w:r>
      </w:hyperlink>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lang w:val="uk-UA"/>
        </w:rPr>
        <w:t>Шевчук А. Міжнародний реєстр збитків для України відкрив нові категорії заяв</w:t>
      </w:r>
      <w:r w:rsidRPr="00B92736">
        <w:rPr>
          <w:rFonts w:ascii="Times New Roman" w:hAnsi="Times New Roman"/>
          <w:sz w:val="28"/>
          <w:szCs w:val="28"/>
          <w:lang w:val="uk-UA"/>
        </w:rPr>
        <w:t xml:space="preserve"> [Електронний ресурс] / А. Шевчук // </w:t>
      </w:r>
      <w:r w:rsidRPr="00B92736">
        <w:rPr>
          <w:rFonts w:ascii="Times New Roman" w:hAnsi="Times New Roman"/>
          <w:sz w:val="28"/>
          <w:szCs w:val="28"/>
        </w:rPr>
        <w:t>Korrespondent</w:t>
      </w:r>
      <w:r w:rsidRPr="00B92736">
        <w:rPr>
          <w:rFonts w:ascii="Times New Roman" w:hAnsi="Times New Roman"/>
          <w:sz w:val="28"/>
          <w:szCs w:val="28"/>
          <w:lang w:val="uk-UA"/>
        </w:rPr>
        <w:t>.</w:t>
      </w:r>
      <w:r w:rsidRPr="00B92736">
        <w:rPr>
          <w:rFonts w:ascii="Times New Roman" w:hAnsi="Times New Roman"/>
          <w:sz w:val="28"/>
          <w:szCs w:val="28"/>
        </w:rPr>
        <w:t>net</w:t>
      </w:r>
      <w:r w:rsidRPr="00B92736">
        <w:rPr>
          <w:rFonts w:ascii="Times New Roman" w:hAnsi="Times New Roman"/>
          <w:sz w:val="28"/>
          <w:szCs w:val="28"/>
          <w:lang w:val="uk-UA"/>
        </w:rPr>
        <w:t xml:space="preserve"> : [вебсайт]. – 2026. – 13 серп. — Електрон. дані. </w:t>
      </w:r>
      <w:r w:rsidRPr="00B92736">
        <w:rPr>
          <w:rFonts w:ascii="Times New Roman" w:hAnsi="Times New Roman"/>
          <w:i/>
          <w:iCs/>
          <w:sz w:val="28"/>
          <w:szCs w:val="28"/>
          <w:lang w:val="uk-UA"/>
        </w:rPr>
        <w:t>Як повідомила заступниця голови Офісу Президента України (ОПУ) Ірина Мудра, міжнародний Реєстр збитків для України (</w:t>
      </w:r>
      <w:r w:rsidRPr="00B92736">
        <w:rPr>
          <w:rFonts w:ascii="Times New Roman" w:hAnsi="Times New Roman"/>
          <w:i/>
          <w:iCs/>
          <w:sz w:val="28"/>
          <w:szCs w:val="28"/>
        </w:rPr>
        <w:t>RD</w:t>
      </w:r>
      <w:r w:rsidRPr="00B92736">
        <w:rPr>
          <w:rFonts w:ascii="Times New Roman" w:hAnsi="Times New Roman"/>
          <w:i/>
          <w:iCs/>
          <w:sz w:val="28"/>
          <w:szCs w:val="28"/>
          <w:lang w:val="uk-UA"/>
        </w:rPr>
        <w:t>4</w:t>
      </w:r>
      <w:r w:rsidRPr="00B92736">
        <w:rPr>
          <w:rFonts w:ascii="Times New Roman" w:hAnsi="Times New Roman"/>
          <w:i/>
          <w:iCs/>
          <w:sz w:val="28"/>
          <w:szCs w:val="28"/>
        </w:rPr>
        <w:t>U</w:t>
      </w:r>
      <w:r w:rsidRPr="00B92736">
        <w:rPr>
          <w:rFonts w:ascii="Times New Roman" w:hAnsi="Times New Roman"/>
          <w:i/>
          <w:iCs/>
          <w:sz w:val="28"/>
          <w:szCs w:val="28"/>
          <w:lang w:val="uk-UA"/>
        </w:rPr>
        <w:t xml:space="preserve">) відкрив дві нові категорії заяв: </w:t>
      </w:r>
      <w:r w:rsidRPr="00B92736">
        <w:rPr>
          <w:rFonts w:ascii="Times New Roman" w:hAnsi="Times New Roman"/>
          <w:i/>
          <w:iCs/>
          <w:sz w:val="28"/>
          <w:szCs w:val="28"/>
        </w:rPr>
        <w:t>B</w:t>
      </w:r>
      <w:r w:rsidRPr="00B92736">
        <w:rPr>
          <w:rFonts w:ascii="Times New Roman" w:hAnsi="Times New Roman"/>
          <w:i/>
          <w:iCs/>
          <w:sz w:val="28"/>
          <w:szCs w:val="28"/>
          <w:lang w:val="uk-UA"/>
        </w:rPr>
        <w:t xml:space="preserve">4 та </w:t>
      </w:r>
      <w:r w:rsidRPr="00B92736">
        <w:rPr>
          <w:rFonts w:ascii="Times New Roman" w:hAnsi="Times New Roman"/>
          <w:i/>
          <w:iCs/>
          <w:sz w:val="28"/>
          <w:szCs w:val="28"/>
        </w:rPr>
        <w:t>B</w:t>
      </w:r>
      <w:r w:rsidRPr="00B92736">
        <w:rPr>
          <w:rFonts w:ascii="Times New Roman" w:hAnsi="Times New Roman"/>
          <w:i/>
          <w:iCs/>
          <w:sz w:val="28"/>
          <w:szCs w:val="28"/>
          <w:lang w:val="uk-UA"/>
        </w:rPr>
        <w:t xml:space="preserve">5. </w:t>
      </w:r>
      <w:r w:rsidRPr="00B92736">
        <w:rPr>
          <w:rFonts w:ascii="Times New Roman" w:hAnsi="Times New Roman"/>
          <w:i/>
          <w:iCs/>
          <w:sz w:val="28"/>
          <w:szCs w:val="28"/>
        </w:rPr>
        <w:t>Так B4 фіксує державні гуманітарні витрати на підтримку постраждалих: евакуацію людей, тимчасове житло, екстрену медичну допомогу, реабілітаційні програми, а також компенсації за пошкоджене чи зруйноване житло за програмою «єВідновлення»; B5 – витрати на розмінування й очищення території України від нерозірваних боєприпасів (від самих робіт на землі до навчання фахівців і інформування людей про мінну небезпеку). За словами посадовиці, подати такі заяви можуть держава Україна, а також центральні, регіональні та місцеві органи влади й установи. І. Мудра наголосила, що заморожені активи РФ мають бути передані на компенсацію збитків.</w:t>
      </w:r>
      <w:r w:rsidRPr="00B92736">
        <w:rPr>
          <w:rFonts w:ascii="Times New Roman" w:hAnsi="Times New Roman"/>
          <w:sz w:val="28"/>
          <w:szCs w:val="28"/>
        </w:rPr>
        <w:t xml:space="preserve"> Текст: </w:t>
      </w:r>
      <w:hyperlink r:id="rId46" w:tgtFrame="_blank" w:history="1">
        <w:r w:rsidRPr="00B92736">
          <w:rPr>
            <w:rStyle w:val="a3"/>
            <w:rFonts w:ascii="Times New Roman" w:hAnsi="Times New Roman"/>
            <w:sz w:val="28"/>
            <w:szCs w:val="28"/>
            <w:lang w:val="uk-UA"/>
          </w:rPr>
          <w:t>https://ua.korrespondent.net/ukraine/4902518-mizhnarodnyi-reiestr-zbytkiv-dlia-ukrainy-vidkryv-novi-katehorii-zaiav</w:t>
        </w:r>
      </w:hyperlink>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rPr>
      </w:pPr>
      <w:r w:rsidRPr="00B92736">
        <w:rPr>
          <w:rFonts w:ascii="Times New Roman" w:hAnsi="Times New Roman"/>
          <w:b/>
          <w:bCs/>
          <w:sz w:val="28"/>
          <w:szCs w:val="28"/>
          <w:lang w:val="uk-UA"/>
        </w:rPr>
        <w:t>Шойко Д. Кличко розповів, чи встигне Київ відновити енергооб’єкти до початку опалювального сезону</w:t>
      </w:r>
      <w:r w:rsidRPr="00B92736">
        <w:rPr>
          <w:rFonts w:ascii="Times New Roman" w:hAnsi="Times New Roman"/>
          <w:sz w:val="28"/>
          <w:szCs w:val="28"/>
          <w:lang w:val="uk-UA"/>
        </w:rPr>
        <w:t xml:space="preserve"> [Електронний ресурс] / Дарія Шойко // </w:t>
      </w:r>
      <w:r w:rsidRPr="00B92736">
        <w:rPr>
          <w:rFonts w:ascii="Times New Roman" w:hAnsi="Times New Roman"/>
          <w:sz w:val="28"/>
          <w:szCs w:val="28"/>
        </w:rPr>
        <w:t>Fakty</w:t>
      </w:r>
      <w:r w:rsidRPr="00B92736">
        <w:rPr>
          <w:rFonts w:ascii="Times New Roman" w:hAnsi="Times New Roman"/>
          <w:sz w:val="28"/>
          <w:szCs w:val="28"/>
          <w:lang w:val="uk-UA"/>
        </w:rPr>
        <w:t>.</w:t>
      </w:r>
      <w:r w:rsidRPr="00B92736">
        <w:rPr>
          <w:rFonts w:ascii="Times New Roman" w:hAnsi="Times New Roman"/>
          <w:sz w:val="28"/>
          <w:szCs w:val="28"/>
        </w:rPr>
        <w:t>ua</w:t>
      </w:r>
      <w:r w:rsidRPr="00B92736">
        <w:rPr>
          <w:rFonts w:ascii="Times New Roman" w:hAnsi="Times New Roman"/>
          <w:sz w:val="28"/>
          <w:szCs w:val="28"/>
          <w:lang w:val="uk-UA"/>
        </w:rPr>
        <w:t xml:space="preserve"> : [вебсайт]. – 2026. – 6 серп. — Електрон. дані. </w:t>
      </w:r>
      <w:r w:rsidRPr="00956F42">
        <w:rPr>
          <w:rFonts w:ascii="Times New Roman" w:hAnsi="Times New Roman"/>
          <w:i/>
          <w:iCs/>
          <w:sz w:val="28"/>
          <w:szCs w:val="28"/>
          <w:lang w:val="uk-UA"/>
        </w:rPr>
        <w:t xml:space="preserve">Повідомлено, що мер Києва Віталій Кличко на засіданні Ради національної безпеки і оборони України (РНБО України) прозвітував про реалізацію Плану стійкості столиці. За його словами, після перегляду проєкту його вартість скоротили з 67 млрд до 37 млрд грн завдяки уточненню пріоритетів, деталізації проєктів і реальній оцінці фінансових можливостей. </w:t>
      </w:r>
      <w:r w:rsidRPr="00B92736">
        <w:rPr>
          <w:rFonts w:ascii="Times New Roman" w:hAnsi="Times New Roman"/>
          <w:i/>
          <w:iCs/>
          <w:sz w:val="28"/>
          <w:szCs w:val="28"/>
        </w:rPr>
        <w:t xml:space="preserve">Із цієї суми 31 млрд грн припадає на заходи загальнодержавного значення. Мер Києва зазначив, що столиця погодилася фінансувати План на умовах 50/50 разом із державою. Частка міста спочатку становила понад 17 млрд грн, однак після включення додаткових проєктів із відновлення енергетики та підвищення енергостійкості житла й соціальної сфери зросла до 22 млрд грн. Також Київ уже залучив 5,2 млрд грн кредитних коштів, зокрема від міжнародних партнерів, а загалом акумулював понад 10 млрд грн на реалізацію Плану. Надалі фінансування планують збільшувати за рахунок кредитів і перерозподілу міського бюджету. За словами В. Кличка, найскладнішим етапом залишається створення резервної системи теплопостачання. Місто вже законтрактувало обладнання та розпочало роботи на об’єктах загальною потужністю понад 1000 МВт, тоді як Агентство відновлення реалізує проєкти ще на 564 МВт. </w:t>
      </w:r>
      <w:r w:rsidRPr="00B92736">
        <w:rPr>
          <w:rFonts w:ascii="Times New Roman" w:hAnsi="Times New Roman"/>
          <w:sz w:val="28"/>
          <w:szCs w:val="28"/>
        </w:rPr>
        <w:t xml:space="preserve">Текст: </w:t>
      </w:r>
      <w:hyperlink r:id="rId47" w:tgtFrame="_blank" w:history="1">
        <w:r w:rsidRPr="00B92736">
          <w:rPr>
            <w:rStyle w:val="a3"/>
            <w:rFonts w:ascii="Times New Roman" w:hAnsi="Times New Roman"/>
            <w:sz w:val="28"/>
            <w:szCs w:val="28"/>
          </w:rPr>
          <w:t>https://fakty.ua/476518-klichko-rasskazal-uspeet-li-kiev-vozobnovit-energoobekty-k-nachalu-otopitelnogo-sezona</w:t>
        </w:r>
      </w:hyperlink>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rPr>
        <w:t>Шойко Д. Податкова взялася за городи: кому за яблука, картоплю та оігрки загрожує штраф</w:t>
      </w:r>
      <w:r w:rsidRPr="00B92736">
        <w:rPr>
          <w:rFonts w:ascii="Times New Roman" w:hAnsi="Times New Roman"/>
          <w:sz w:val="28"/>
          <w:szCs w:val="28"/>
        </w:rPr>
        <w:t xml:space="preserve"> [Електронний ресурс] / Дарія Шойко // </w:t>
      </w:r>
      <w:proofErr w:type="gramStart"/>
      <w:r w:rsidRPr="00B92736">
        <w:rPr>
          <w:rFonts w:ascii="Times New Roman" w:hAnsi="Times New Roman"/>
          <w:sz w:val="28"/>
          <w:szCs w:val="28"/>
        </w:rPr>
        <w:t>Fakty.ua :</w:t>
      </w:r>
      <w:proofErr w:type="gramEnd"/>
      <w:r w:rsidRPr="00B92736">
        <w:rPr>
          <w:rFonts w:ascii="Times New Roman" w:hAnsi="Times New Roman"/>
          <w:sz w:val="28"/>
          <w:szCs w:val="28"/>
        </w:rPr>
        <w:t xml:space="preserve"> [вебсайт]. – 2026. – 4 серп. — Електрон. дані. </w:t>
      </w:r>
      <w:r w:rsidRPr="00B92736">
        <w:rPr>
          <w:rFonts w:ascii="Times New Roman" w:hAnsi="Times New Roman"/>
          <w:i/>
          <w:iCs/>
          <w:sz w:val="28"/>
          <w:szCs w:val="28"/>
        </w:rPr>
        <w:t>Йдеться про те, що продаж овочів, фруктів та іншої продукції, вирощеної на власній земельній ділянці, не завжди звільняє від сплати податків. Якщо річний дохід перевищить встановлений законом ліміт, із суми перевищення необхідно буде сплатити 18 % податку на доходи фізичних осіб і 5 % військового збору. Відповідно до Податкового кодексу, у 2026 р. неоподатковуваний дохід від продажу власної сільськогосподарської продукції становить до 12 мінімальних заробітних плат, установлених на 01.01.2026, тобто 96 000 грн. При цьому враховується не розмір окремого продажу, а загальний дохід, отриманий протягом календарного року. Вказано, що пільга діє лише щодо продукції, вирощеної на земельних ділянках, які використовуються за цільовим призначенням. Йдеться, зокрема, про присадибні ділянки, землі для садівництва, особистого селянського господарства, індивідуального дачного будівництва та земельні паї. Фахівці рекомендують вести облік отриманого доходу, зберігати документи, що підтверджують право користування земельною ділянкою, а за потреби — оформити в органі місцевого самоврядування (ОМС) довідку про вирощування продукції на власній землі</w:t>
      </w:r>
      <w:r w:rsidRPr="00B92736">
        <w:rPr>
          <w:rFonts w:ascii="Times New Roman" w:hAnsi="Times New Roman"/>
          <w:sz w:val="28"/>
          <w:szCs w:val="28"/>
        </w:rPr>
        <w:t xml:space="preserve">. Текст: </w:t>
      </w:r>
      <w:hyperlink r:id="rId48" w:tgtFrame="_blank" w:history="1">
        <w:r w:rsidRPr="00B92736">
          <w:rPr>
            <w:rStyle w:val="a3"/>
            <w:rFonts w:ascii="Times New Roman" w:hAnsi="Times New Roman"/>
            <w:sz w:val="28"/>
            <w:szCs w:val="28"/>
          </w:rPr>
          <w:t>https://fakty.ua/476393-nalogovaya-vzyalas-za-ogorody-komu-za-yabloki-kartofel-i-igrushki-grozit-shtraf</w:t>
        </w:r>
      </w:hyperlink>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lang w:val="uk-UA"/>
        </w:rPr>
      </w:pPr>
      <w:r w:rsidRPr="00B92736">
        <w:rPr>
          <w:rFonts w:ascii="Times New Roman" w:hAnsi="Times New Roman"/>
          <w:b/>
          <w:bCs/>
          <w:sz w:val="28"/>
          <w:szCs w:val="28"/>
          <w:lang w:val="uk-UA"/>
        </w:rPr>
        <w:t>Щербина В. С. Організаційно-правові форми юридичних осіб публічного права, які фінансуються з державного та місцевих бюджетів</w:t>
      </w:r>
      <w:r w:rsidRPr="00B92736">
        <w:rPr>
          <w:rFonts w:ascii="Times New Roman" w:hAnsi="Times New Roman"/>
          <w:sz w:val="28"/>
          <w:szCs w:val="28"/>
          <w:lang w:val="uk-UA"/>
        </w:rPr>
        <w:t xml:space="preserve"> [Електронний ресурс] / В. С. Щербина // Наук. вісн. Ужгород. нац. ун-ту. Серія : Право : зб. наук. пр.  – Ужгород, 2026. – №</w:t>
      </w:r>
      <w:r w:rsidRPr="00B92736">
        <w:rPr>
          <w:rFonts w:ascii="Times New Roman" w:hAnsi="Times New Roman"/>
          <w:sz w:val="28"/>
          <w:szCs w:val="28"/>
        </w:rPr>
        <w:t xml:space="preserve"> </w:t>
      </w:r>
      <w:r w:rsidRPr="00B92736">
        <w:rPr>
          <w:rFonts w:ascii="Times New Roman" w:hAnsi="Times New Roman"/>
          <w:sz w:val="28"/>
          <w:szCs w:val="28"/>
          <w:lang w:val="uk-UA"/>
        </w:rPr>
        <w:t>94, т. 2. – С.</w:t>
      </w:r>
      <w:r w:rsidRPr="00B92736">
        <w:rPr>
          <w:rFonts w:ascii="Times New Roman" w:hAnsi="Times New Roman"/>
          <w:sz w:val="28"/>
          <w:szCs w:val="28"/>
        </w:rPr>
        <w:t xml:space="preserve"> </w:t>
      </w:r>
      <w:r w:rsidRPr="00B92736">
        <w:rPr>
          <w:rFonts w:ascii="Times New Roman" w:hAnsi="Times New Roman"/>
          <w:sz w:val="28"/>
          <w:szCs w:val="28"/>
          <w:lang w:val="uk-UA"/>
        </w:rPr>
        <w:t xml:space="preserve">106-111. </w:t>
      </w:r>
      <w:r w:rsidRPr="00B92736">
        <w:rPr>
          <w:rFonts w:ascii="Times New Roman" w:hAnsi="Times New Roman"/>
          <w:i/>
          <w:iCs/>
          <w:sz w:val="28"/>
          <w:szCs w:val="28"/>
          <w:lang w:val="uk-UA"/>
        </w:rPr>
        <w:t>Розглянуто організаційно-правові форми юридичних осіб публічного права, які фінансуються з державного та місцевих бюджетів і не здійснюють функцій державної влади чи місцевого самоврядування. Проаналізовано проблеми нормативного визначення організаційно-правових форм державних і комунальних закладів освіти, науки, культури та інших установ, а також виявлено недоліки чинного законодавчого регулювання у цій сфері. Обґрунтовано недоцільність поширення конструкції організаційно-правової форми на органи державної влади та місцевого самоврядування, оскільки їхній статус визначається виконанням публічних функцій. Запропоновано розглядати установу як найбільш адекватну організаційно-правову форму для юридичних осіб публічного права та удосконалити положення Цивільного кодексу України шляхом чіткого розмежування установ приватного і публічного права.</w:t>
      </w:r>
      <w:r w:rsidRPr="00B92736">
        <w:rPr>
          <w:rFonts w:ascii="Times New Roman" w:hAnsi="Times New Roman"/>
          <w:sz w:val="28"/>
          <w:szCs w:val="28"/>
          <w:lang w:val="uk-UA"/>
        </w:rPr>
        <w:t xml:space="preserve"> Текст: </w:t>
      </w:r>
      <w:hyperlink r:id="rId49" w:history="1">
        <w:r w:rsidRPr="00B92736">
          <w:rPr>
            <w:rStyle w:val="a3"/>
            <w:rFonts w:ascii="Times New Roman" w:hAnsi="Times New Roman"/>
            <w:sz w:val="28"/>
            <w:szCs w:val="28"/>
            <w:lang w:val="uk-UA"/>
          </w:rPr>
          <w:t>https://visnyk-juris-uzhnu.com/wp-content/uploads/2026/05/15-1.pdf</w:t>
        </w:r>
      </w:hyperlink>
      <w:r w:rsidRPr="00B92736">
        <w:rPr>
          <w:rFonts w:ascii="Times New Roman" w:hAnsi="Times New Roman"/>
          <w:sz w:val="28"/>
          <w:szCs w:val="28"/>
          <w:lang w:val="uk-UA"/>
        </w:rPr>
        <w:t xml:space="preserve"> </w:t>
      </w:r>
    </w:p>
    <w:p w:rsidR="000C71BD" w:rsidRPr="00B92736" w:rsidRDefault="000C71BD" w:rsidP="000C71BD">
      <w:pPr>
        <w:pStyle w:val="a5"/>
        <w:numPr>
          <w:ilvl w:val="0"/>
          <w:numId w:val="8"/>
        </w:numPr>
        <w:spacing w:before="120" w:after="0" w:line="360" w:lineRule="auto"/>
        <w:ind w:left="0" w:firstLine="567"/>
        <w:jc w:val="both"/>
        <w:rPr>
          <w:rFonts w:ascii="Times New Roman" w:hAnsi="Times New Roman"/>
          <w:sz w:val="28"/>
          <w:szCs w:val="28"/>
        </w:rPr>
      </w:pPr>
      <w:r w:rsidRPr="00B92736">
        <w:rPr>
          <w:rFonts w:ascii="Times New Roman" w:hAnsi="Times New Roman"/>
          <w:b/>
          <w:bCs/>
          <w:sz w:val="28"/>
          <w:szCs w:val="28"/>
        </w:rPr>
        <w:t xml:space="preserve">Японська допомога для стійкої зими: громади Миколаївщини отримали нове енергетичне обладнання </w:t>
      </w:r>
      <w:r w:rsidRPr="00B92736">
        <w:rPr>
          <w:rFonts w:ascii="Times New Roman" w:hAnsi="Times New Roman"/>
          <w:sz w:val="28"/>
          <w:szCs w:val="28"/>
        </w:rPr>
        <w:t>[Електронний ресурс] / Прес-служба Апарату Верхов. Ради України // Голос України. – 2026. – 4 серп. [№ 653]. – Електрон. дані.</w:t>
      </w:r>
      <w:r w:rsidRPr="00B92736">
        <w:rPr>
          <w:rFonts w:ascii="Times New Roman" w:hAnsi="Times New Roman"/>
          <w:b/>
          <w:bCs/>
          <w:sz w:val="28"/>
          <w:szCs w:val="28"/>
        </w:rPr>
        <w:t xml:space="preserve"> </w:t>
      </w:r>
      <w:r w:rsidRPr="00B92736">
        <w:rPr>
          <w:rFonts w:ascii="Times New Roman" w:hAnsi="Times New Roman"/>
          <w:i/>
          <w:iCs/>
          <w:sz w:val="28"/>
          <w:szCs w:val="28"/>
        </w:rPr>
        <w:t xml:space="preserve">Як повідомив Прем'єр-міністр України Сергій Корецький, до громад Миколаївської області передали 27 трансформаторів та інше обладнання, придбане за кошти гранту уряду Японії, для підготовки до осінньо-зимового періоду. За його словами, досвід п'яти зим в умовах російського енергетичного терору підтвердив, що наявність резервного обладнання та можливість оперативного відновлення енергетичної інфраструктури є стратегічною потребою. Прем'єр-міністр наголосив, що уряд і надалі працюватиме над пошуком додаткових можливостей для посилення енергетичної стійкості України, насамперед у прифронтових регіонах, а також висловив вдячність уряду Японії за підтримку. </w:t>
      </w:r>
      <w:r w:rsidRPr="00B92736">
        <w:rPr>
          <w:rFonts w:ascii="Times New Roman" w:hAnsi="Times New Roman"/>
          <w:sz w:val="28"/>
          <w:szCs w:val="28"/>
        </w:rPr>
        <w:t xml:space="preserve">Текст: </w:t>
      </w:r>
      <w:hyperlink r:id="rId50" w:tgtFrame="_blank" w:history="1">
        <w:r w:rsidRPr="00B92736">
          <w:rPr>
            <w:rStyle w:val="a3"/>
            <w:rFonts w:ascii="Times New Roman" w:hAnsi="Times New Roman"/>
            <w:sz w:val="28"/>
            <w:szCs w:val="28"/>
            <w:lang w:val="uk-UA"/>
          </w:rPr>
          <w:t>https://www.golos.com.ua/article/392169</w:t>
        </w:r>
      </w:hyperlink>
    </w:p>
    <w:p w:rsidR="0009199E" w:rsidRPr="00E94672" w:rsidRDefault="0009199E" w:rsidP="0009199E">
      <w:pPr>
        <w:spacing w:before="120" w:after="0" w:line="360" w:lineRule="auto"/>
        <w:jc w:val="both"/>
        <w:rPr>
          <w:rFonts w:ascii="Times New Roman" w:hAnsi="Times New Roman"/>
          <w:sz w:val="28"/>
          <w:szCs w:val="28"/>
          <w:lang w:val="en-US"/>
        </w:rPr>
      </w:pPr>
    </w:p>
    <w:p w:rsidR="0009199E" w:rsidRPr="00F92263" w:rsidRDefault="0009199E" w:rsidP="0009199E">
      <w:pPr>
        <w:spacing w:before="120" w:after="0" w:line="360" w:lineRule="auto"/>
        <w:jc w:val="both"/>
        <w:rPr>
          <w:rFonts w:ascii="Times New Roman" w:hAnsi="Times New Roman"/>
          <w:sz w:val="28"/>
          <w:szCs w:val="28"/>
        </w:rPr>
      </w:pPr>
    </w:p>
    <w:p w:rsidR="002045ED" w:rsidRPr="00034CC0" w:rsidRDefault="00034CC0" w:rsidP="002045ED">
      <w:pPr>
        <w:spacing w:before="120" w:after="0" w:line="360" w:lineRule="auto"/>
        <w:jc w:val="both"/>
        <w:rPr>
          <w:rFonts w:ascii="Times New Roman" w:hAnsi="Times New Roman"/>
          <w:b/>
          <w:sz w:val="24"/>
          <w:szCs w:val="24"/>
          <w:lang w:val="uk-UA"/>
        </w:rPr>
      </w:pPr>
      <w:r w:rsidRPr="00034CC0">
        <w:rPr>
          <w:rFonts w:ascii="Times New Roman" w:hAnsi="Times New Roman"/>
          <w:b/>
          <w:sz w:val="24"/>
          <w:szCs w:val="24"/>
          <w:lang w:val="uk-UA"/>
        </w:rPr>
        <w:t>3</w:t>
      </w:r>
      <w:r w:rsidR="005E0677">
        <w:rPr>
          <w:rFonts w:ascii="Times New Roman" w:hAnsi="Times New Roman"/>
          <w:b/>
          <w:sz w:val="24"/>
          <w:szCs w:val="24"/>
          <w:lang w:val="uk-UA"/>
        </w:rPr>
        <w:t>1</w:t>
      </w:r>
      <w:r w:rsidR="002045ED" w:rsidRPr="00034CC0">
        <w:rPr>
          <w:rFonts w:ascii="Times New Roman" w:hAnsi="Times New Roman"/>
          <w:b/>
          <w:sz w:val="24"/>
          <w:szCs w:val="24"/>
        </w:rPr>
        <w:t>.0</w:t>
      </w:r>
      <w:r w:rsidR="000C71BD">
        <w:rPr>
          <w:rFonts w:ascii="Times New Roman" w:hAnsi="Times New Roman"/>
          <w:b/>
          <w:sz w:val="24"/>
          <w:szCs w:val="24"/>
          <w:lang w:val="uk-UA"/>
        </w:rPr>
        <w:t>8</w:t>
      </w:r>
      <w:r w:rsidR="002045ED" w:rsidRPr="00034CC0">
        <w:rPr>
          <w:rFonts w:ascii="Times New Roman" w:hAnsi="Times New Roman"/>
          <w:b/>
          <w:sz w:val="24"/>
          <w:szCs w:val="24"/>
        </w:rPr>
        <w:t xml:space="preserve">.2026 </w:t>
      </w:r>
    </w:p>
    <w:p w:rsidR="002045ED" w:rsidRPr="00034CC0" w:rsidRDefault="002045ED" w:rsidP="002045ED">
      <w:pPr>
        <w:spacing w:before="120" w:after="0" w:line="360" w:lineRule="auto"/>
        <w:jc w:val="both"/>
        <w:rPr>
          <w:rFonts w:ascii="Times New Roman" w:hAnsi="Times New Roman"/>
          <w:b/>
          <w:sz w:val="24"/>
          <w:szCs w:val="24"/>
          <w:lang w:val="uk-UA"/>
        </w:rPr>
      </w:pPr>
      <w:r w:rsidRPr="00034CC0">
        <w:rPr>
          <w:rFonts w:ascii="Times New Roman" w:hAnsi="Times New Roman"/>
          <w:b/>
          <w:sz w:val="24"/>
          <w:szCs w:val="24"/>
        </w:rPr>
        <w:t xml:space="preserve">Укладач: </w:t>
      </w:r>
      <w:r w:rsidRPr="00034CC0">
        <w:rPr>
          <w:rFonts w:ascii="Times New Roman" w:hAnsi="Times New Roman"/>
          <w:b/>
          <w:sz w:val="24"/>
          <w:szCs w:val="24"/>
          <w:lang w:val="uk-UA"/>
        </w:rPr>
        <w:t xml:space="preserve">Шелудько В. Л. </w:t>
      </w:r>
    </w:p>
    <w:p w:rsidR="0009199E" w:rsidRDefault="002045ED" w:rsidP="005E0677">
      <w:pPr>
        <w:spacing w:before="120" w:after="0" w:line="360" w:lineRule="auto"/>
        <w:jc w:val="both"/>
      </w:pPr>
      <w:r w:rsidRPr="00034CC0">
        <w:rPr>
          <w:rFonts w:ascii="Times New Roman" w:hAnsi="Times New Roman"/>
          <w:b/>
          <w:sz w:val="24"/>
          <w:szCs w:val="24"/>
        </w:rPr>
        <w:t xml:space="preserve">Відповідальний за випуск: </w:t>
      </w:r>
      <w:r w:rsidR="005E0677" w:rsidRPr="00034CC0">
        <w:rPr>
          <w:rFonts w:ascii="Times New Roman" w:hAnsi="Times New Roman"/>
          <w:b/>
          <w:sz w:val="24"/>
          <w:szCs w:val="24"/>
          <w:lang w:val="uk-UA"/>
        </w:rPr>
        <w:t>Шелудько В. Л.</w:t>
      </w:r>
    </w:p>
    <w:sectPr w:rsidR="0009199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601FD"/>
    <w:multiLevelType w:val="hybridMultilevel"/>
    <w:tmpl w:val="57EEB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E92E0A"/>
    <w:multiLevelType w:val="hybridMultilevel"/>
    <w:tmpl w:val="97E4736A"/>
    <w:lvl w:ilvl="0" w:tplc="63FAD8C0">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C40B02"/>
    <w:multiLevelType w:val="hybridMultilevel"/>
    <w:tmpl w:val="B1EC1F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9860F85"/>
    <w:multiLevelType w:val="hybridMultilevel"/>
    <w:tmpl w:val="9594CEFC"/>
    <w:lvl w:ilvl="0" w:tplc="5846F052">
      <w:start w:val="1"/>
      <w:numFmt w:val="decimal"/>
      <w:lvlText w:val="%1."/>
      <w:lvlJc w:val="left"/>
      <w:pPr>
        <w:ind w:left="720" w:hanging="360"/>
      </w:pPr>
      <w:rPr>
        <w:i w:val="0"/>
        <w:i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E811411"/>
    <w:multiLevelType w:val="hybridMultilevel"/>
    <w:tmpl w:val="F4D6421C"/>
    <w:lvl w:ilvl="0" w:tplc="7B5E28CE">
      <w:start w:val="1"/>
      <w:numFmt w:val="decimal"/>
      <w:lvlText w:val="%1."/>
      <w:lvlJc w:val="left"/>
      <w:pPr>
        <w:ind w:left="720" w:hanging="360"/>
      </w:pPr>
      <w:rPr>
        <w:b w:val="0"/>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3D464F"/>
    <w:multiLevelType w:val="hybridMultilevel"/>
    <w:tmpl w:val="0BD402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6F3F165F"/>
    <w:multiLevelType w:val="hybridMultilevel"/>
    <w:tmpl w:val="3E7EFBDE"/>
    <w:lvl w:ilvl="0" w:tplc="F9221944">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D213771"/>
    <w:multiLevelType w:val="hybridMultilevel"/>
    <w:tmpl w:val="6BD2B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5"/>
  </w:num>
  <w:num w:numId="4">
    <w:abstractNumId w:val="1"/>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D13"/>
    <w:rsid w:val="00034CC0"/>
    <w:rsid w:val="0009199E"/>
    <w:rsid w:val="000A45FB"/>
    <w:rsid w:val="000C71BD"/>
    <w:rsid w:val="002045ED"/>
    <w:rsid w:val="002220C2"/>
    <w:rsid w:val="00274A87"/>
    <w:rsid w:val="004766D8"/>
    <w:rsid w:val="00533681"/>
    <w:rsid w:val="005E0677"/>
    <w:rsid w:val="005E1D13"/>
    <w:rsid w:val="006835F4"/>
    <w:rsid w:val="00DC027D"/>
    <w:rsid w:val="00E946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958C8"/>
  <w15:chartTrackingRefBased/>
  <w15:docId w15:val="{EA9CF564-5266-4982-80E7-37AAA20E0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D13"/>
    <w:pPr>
      <w:spacing w:after="200" w:line="276" w:lineRule="auto"/>
    </w:pPr>
    <w:rPr>
      <w:rFonts w:ascii="Calibri" w:eastAsia="Times New Roman" w:hAnsi="Calibri" w:cs="Times New Roman"/>
      <w:lang w:val="ru-RU" w:eastAsia="ru-RU"/>
    </w:rPr>
  </w:style>
  <w:style w:type="paragraph" w:styleId="1">
    <w:name w:val="heading 1"/>
    <w:basedOn w:val="a"/>
    <w:next w:val="a"/>
    <w:link w:val="10"/>
    <w:uiPriority w:val="9"/>
    <w:qFormat/>
    <w:rsid w:val="00E9467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unhideWhenUsed/>
    <w:qFormat/>
    <w:rsid w:val="00E9467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E94672"/>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E94672"/>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E94672"/>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E94672"/>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E94672"/>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E94672"/>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E94672"/>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E1D13"/>
    <w:rPr>
      <w:color w:val="0000FF"/>
      <w:u w:val="single"/>
    </w:rPr>
  </w:style>
  <w:style w:type="paragraph" w:styleId="a4">
    <w:name w:val="No Spacing"/>
    <w:aliases w:val="Звичайний 2"/>
    <w:basedOn w:val="a"/>
    <w:uiPriority w:val="1"/>
    <w:qFormat/>
    <w:rsid w:val="005E1D13"/>
    <w:pPr>
      <w:spacing w:after="120" w:line="360" w:lineRule="auto"/>
      <w:ind w:firstLine="567"/>
      <w:jc w:val="both"/>
    </w:pPr>
    <w:rPr>
      <w:rFonts w:ascii="Times New Roman" w:eastAsiaTheme="minorEastAsia" w:hAnsi="Times New Roman" w:cstheme="minorBidi"/>
      <w:sz w:val="28"/>
      <w:lang w:eastAsia="en-US"/>
    </w:rPr>
  </w:style>
  <w:style w:type="paragraph" w:styleId="a5">
    <w:name w:val="List Paragraph"/>
    <w:basedOn w:val="a"/>
    <w:uiPriority w:val="34"/>
    <w:qFormat/>
    <w:rsid w:val="0009199E"/>
    <w:pPr>
      <w:ind w:left="720"/>
      <w:contextualSpacing/>
    </w:pPr>
  </w:style>
  <w:style w:type="character" w:customStyle="1" w:styleId="10">
    <w:name w:val="Заголовок 1 Знак"/>
    <w:basedOn w:val="a0"/>
    <w:link w:val="1"/>
    <w:uiPriority w:val="9"/>
    <w:rsid w:val="00E94672"/>
    <w:rPr>
      <w:rFonts w:asciiTheme="majorHAnsi" w:eastAsiaTheme="majorEastAsia" w:hAnsiTheme="majorHAnsi" w:cstheme="majorBidi"/>
      <w:color w:val="2E74B5" w:themeColor="accent1" w:themeShade="BF"/>
      <w:sz w:val="40"/>
      <w:szCs w:val="40"/>
      <w:lang w:val="ru-RU" w:eastAsia="ru-RU"/>
    </w:rPr>
  </w:style>
  <w:style w:type="character" w:customStyle="1" w:styleId="20">
    <w:name w:val="Заголовок 2 Знак"/>
    <w:basedOn w:val="a0"/>
    <w:link w:val="2"/>
    <w:uiPriority w:val="9"/>
    <w:rsid w:val="00E94672"/>
    <w:rPr>
      <w:rFonts w:asciiTheme="majorHAnsi" w:eastAsiaTheme="majorEastAsia" w:hAnsiTheme="majorHAnsi" w:cstheme="majorBidi"/>
      <w:color w:val="2E74B5" w:themeColor="accent1" w:themeShade="BF"/>
      <w:sz w:val="32"/>
      <w:szCs w:val="32"/>
      <w:lang w:val="ru-RU" w:eastAsia="ru-RU"/>
    </w:rPr>
  </w:style>
  <w:style w:type="character" w:customStyle="1" w:styleId="30">
    <w:name w:val="Заголовок 3 Знак"/>
    <w:basedOn w:val="a0"/>
    <w:link w:val="3"/>
    <w:uiPriority w:val="9"/>
    <w:rsid w:val="00E94672"/>
    <w:rPr>
      <w:rFonts w:eastAsiaTheme="majorEastAsia" w:cstheme="majorBidi"/>
      <w:color w:val="2E74B5" w:themeColor="accent1" w:themeShade="BF"/>
      <w:szCs w:val="28"/>
      <w:lang w:val="ru-RU" w:eastAsia="ru-RU"/>
    </w:rPr>
  </w:style>
  <w:style w:type="character" w:customStyle="1" w:styleId="40">
    <w:name w:val="Заголовок 4 Знак"/>
    <w:basedOn w:val="a0"/>
    <w:link w:val="4"/>
    <w:uiPriority w:val="9"/>
    <w:semiHidden/>
    <w:rsid w:val="00E94672"/>
    <w:rPr>
      <w:rFonts w:eastAsiaTheme="majorEastAsia" w:cstheme="majorBidi"/>
      <w:i/>
      <w:iCs/>
      <w:color w:val="2E74B5" w:themeColor="accent1" w:themeShade="BF"/>
      <w:lang w:val="ru-RU" w:eastAsia="ru-RU"/>
    </w:rPr>
  </w:style>
  <w:style w:type="character" w:customStyle="1" w:styleId="50">
    <w:name w:val="Заголовок 5 Знак"/>
    <w:basedOn w:val="a0"/>
    <w:link w:val="5"/>
    <w:uiPriority w:val="9"/>
    <w:semiHidden/>
    <w:rsid w:val="00E94672"/>
    <w:rPr>
      <w:rFonts w:eastAsiaTheme="majorEastAsia" w:cstheme="majorBidi"/>
      <w:color w:val="2E74B5" w:themeColor="accent1" w:themeShade="BF"/>
      <w:lang w:val="ru-RU" w:eastAsia="ru-RU"/>
    </w:rPr>
  </w:style>
  <w:style w:type="character" w:customStyle="1" w:styleId="60">
    <w:name w:val="Заголовок 6 Знак"/>
    <w:basedOn w:val="a0"/>
    <w:link w:val="6"/>
    <w:uiPriority w:val="9"/>
    <w:semiHidden/>
    <w:rsid w:val="00E94672"/>
    <w:rPr>
      <w:rFonts w:eastAsiaTheme="majorEastAsia" w:cstheme="majorBidi"/>
      <w:i/>
      <w:iCs/>
      <w:color w:val="595959" w:themeColor="text1" w:themeTint="A6"/>
      <w:lang w:val="ru-RU" w:eastAsia="ru-RU"/>
    </w:rPr>
  </w:style>
  <w:style w:type="character" w:customStyle="1" w:styleId="70">
    <w:name w:val="Заголовок 7 Знак"/>
    <w:basedOn w:val="a0"/>
    <w:link w:val="7"/>
    <w:uiPriority w:val="9"/>
    <w:semiHidden/>
    <w:rsid w:val="00E94672"/>
    <w:rPr>
      <w:rFonts w:eastAsiaTheme="majorEastAsia" w:cstheme="majorBidi"/>
      <w:color w:val="595959" w:themeColor="text1" w:themeTint="A6"/>
      <w:lang w:val="ru-RU" w:eastAsia="ru-RU"/>
    </w:rPr>
  </w:style>
  <w:style w:type="character" w:customStyle="1" w:styleId="80">
    <w:name w:val="Заголовок 8 Знак"/>
    <w:basedOn w:val="a0"/>
    <w:link w:val="8"/>
    <w:uiPriority w:val="9"/>
    <w:semiHidden/>
    <w:rsid w:val="00E94672"/>
    <w:rPr>
      <w:rFonts w:eastAsiaTheme="majorEastAsia" w:cstheme="majorBidi"/>
      <w:i/>
      <w:iCs/>
      <w:color w:val="272727" w:themeColor="text1" w:themeTint="D8"/>
      <w:lang w:val="ru-RU" w:eastAsia="ru-RU"/>
    </w:rPr>
  </w:style>
  <w:style w:type="character" w:customStyle="1" w:styleId="90">
    <w:name w:val="Заголовок 9 Знак"/>
    <w:basedOn w:val="a0"/>
    <w:link w:val="9"/>
    <w:uiPriority w:val="9"/>
    <w:semiHidden/>
    <w:rsid w:val="00E94672"/>
    <w:rPr>
      <w:rFonts w:eastAsiaTheme="majorEastAsia" w:cstheme="majorBidi"/>
      <w:color w:val="272727" w:themeColor="text1" w:themeTint="D8"/>
      <w:lang w:val="ru-RU" w:eastAsia="ru-RU"/>
    </w:rPr>
  </w:style>
  <w:style w:type="paragraph" w:styleId="a6">
    <w:name w:val="Title"/>
    <w:basedOn w:val="a"/>
    <w:next w:val="a"/>
    <w:link w:val="a7"/>
    <w:uiPriority w:val="10"/>
    <w:qFormat/>
    <w:rsid w:val="00E94672"/>
    <w:pPr>
      <w:spacing w:after="80"/>
      <w:contextualSpacing/>
    </w:pPr>
    <w:rPr>
      <w:rFonts w:asciiTheme="majorHAnsi" w:eastAsiaTheme="majorEastAsia" w:hAnsiTheme="majorHAnsi" w:cstheme="majorBidi"/>
      <w:spacing w:val="-10"/>
      <w:kern w:val="28"/>
      <w:sz w:val="56"/>
      <w:szCs w:val="56"/>
    </w:rPr>
  </w:style>
  <w:style w:type="character" w:customStyle="1" w:styleId="a7">
    <w:name w:val="Назва Знак"/>
    <w:basedOn w:val="a0"/>
    <w:link w:val="a6"/>
    <w:uiPriority w:val="10"/>
    <w:rsid w:val="00E94672"/>
    <w:rPr>
      <w:rFonts w:asciiTheme="majorHAnsi" w:eastAsiaTheme="majorEastAsia" w:hAnsiTheme="majorHAnsi" w:cstheme="majorBidi"/>
      <w:spacing w:val="-10"/>
      <w:kern w:val="28"/>
      <w:sz w:val="56"/>
      <w:szCs w:val="56"/>
      <w:lang w:val="ru-RU" w:eastAsia="ru-RU"/>
    </w:rPr>
  </w:style>
  <w:style w:type="paragraph" w:styleId="a8">
    <w:name w:val="Subtitle"/>
    <w:basedOn w:val="a"/>
    <w:next w:val="a"/>
    <w:link w:val="a9"/>
    <w:uiPriority w:val="11"/>
    <w:qFormat/>
    <w:rsid w:val="00E94672"/>
    <w:pPr>
      <w:numPr>
        <w:ilvl w:val="1"/>
      </w:numPr>
    </w:pPr>
    <w:rPr>
      <w:rFonts w:asciiTheme="minorHAnsi" w:eastAsiaTheme="majorEastAsia" w:hAnsiTheme="minorHAnsi" w:cstheme="majorBidi"/>
      <w:color w:val="595959" w:themeColor="text1" w:themeTint="A6"/>
      <w:spacing w:val="15"/>
      <w:szCs w:val="28"/>
    </w:rPr>
  </w:style>
  <w:style w:type="character" w:customStyle="1" w:styleId="a9">
    <w:name w:val="Підзаголовок Знак"/>
    <w:basedOn w:val="a0"/>
    <w:link w:val="a8"/>
    <w:uiPriority w:val="11"/>
    <w:rsid w:val="00E94672"/>
    <w:rPr>
      <w:rFonts w:eastAsiaTheme="majorEastAsia" w:cstheme="majorBidi"/>
      <w:color w:val="595959" w:themeColor="text1" w:themeTint="A6"/>
      <w:spacing w:val="15"/>
      <w:szCs w:val="28"/>
      <w:lang w:val="ru-RU" w:eastAsia="ru-RU"/>
    </w:rPr>
  </w:style>
  <w:style w:type="paragraph" w:styleId="aa">
    <w:name w:val="Quote"/>
    <w:basedOn w:val="a"/>
    <w:next w:val="a"/>
    <w:link w:val="ab"/>
    <w:uiPriority w:val="29"/>
    <w:qFormat/>
    <w:rsid w:val="00E94672"/>
    <w:pPr>
      <w:spacing w:before="160"/>
      <w:jc w:val="center"/>
    </w:pPr>
    <w:rPr>
      <w:i/>
      <w:iCs/>
      <w:color w:val="404040" w:themeColor="text1" w:themeTint="BF"/>
    </w:rPr>
  </w:style>
  <w:style w:type="character" w:customStyle="1" w:styleId="ab">
    <w:name w:val="Цитата Знак"/>
    <w:basedOn w:val="a0"/>
    <w:link w:val="aa"/>
    <w:uiPriority w:val="29"/>
    <w:rsid w:val="00E94672"/>
    <w:rPr>
      <w:rFonts w:ascii="Calibri" w:eastAsia="Times New Roman" w:hAnsi="Calibri" w:cs="Times New Roman"/>
      <w:i/>
      <w:iCs/>
      <w:color w:val="404040" w:themeColor="text1" w:themeTint="BF"/>
      <w:lang w:val="ru-RU" w:eastAsia="ru-RU"/>
    </w:rPr>
  </w:style>
  <w:style w:type="character" w:styleId="ac">
    <w:name w:val="Intense Emphasis"/>
    <w:basedOn w:val="a0"/>
    <w:uiPriority w:val="21"/>
    <w:qFormat/>
    <w:rsid w:val="00E94672"/>
    <w:rPr>
      <w:i/>
      <w:iCs/>
      <w:color w:val="2E74B5" w:themeColor="accent1" w:themeShade="BF"/>
    </w:rPr>
  </w:style>
  <w:style w:type="paragraph" w:styleId="ad">
    <w:name w:val="Intense Quote"/>
    <w:basedOn w:val="a"/>
    <w:next w:val="a"/>
    <w:link w:val="ae"/>
    <w:uiPriority w:val="30"/>
    <w:qFormat/>
    <w:rsid w:val="00E9467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e">
    <w:name w:val="Насичена цитата Знак"/>
    <w:basedOn w:val="a0"/>
    <w:link w:val="ad"/>
    <w:uiPriority w:val="30"/>
    <w:rsid w:val="00E94672"/>
    <w:rPr>
      <w:rFonts w:ascii="Calibri" w:eastAsia="Times New Roman" w:hAnsi="Calibri" w:cs="Times New Roman"/>
      <w:i/>
      <w:iCs/>
      <w:color w:val="2E74B5" w:themeColor="accent1" w:themeShade="BF"/>
      <w:lang w:val="ru-RU" w:eastAsia="ru-RU"/>
    </w:rPr>
  </w:style>
  <w:style w:type="character" w:styleId="af">
    <w:name w:val="Intense Reference"/>
    <w:basedOn w:val="a0"/>
    <w:uiPriority w:val="32"/>
    <w:qFormat/>
    <w:rsid w:val="00E94672"/>
    <w:rPr>
      <w:b/>
      <w:bCs/>
      <w:smallCaps/>
      <w:color w:val="2E74B5" w:themeColor="accent1" w:themeShade="BF"/>
      <w:spacing w:val="5"/>
    </w:rPr>
  </w:style>
  <w:style w:type="paragraph" w:styleId="af0">
    <w:name w:val="TOC Heading"/>
    <w:basedOn w:val="1"/>
    <w:next w:val="a"/>
    <w:uiPriority w:val="39"/>
    <w:semiHidden/>
    <w:unhideWhenUsed/>
    <w:qFormat/>
    <w:rsid w:val="00E94672"/>
    <w:pPr>
      <w:spacing w:before="480" w:after="0"/>
      <w:outlineLvl w:val="9"/>
    </w:pPr>
    <w:rPr>
      <w:b/>
      <w:bCs/>
      <w:sz w:val="28"/>
      <w:szCs w:val="28"/>
    </w:rPr>
  </w:style>
  <w:style w:type="paragraph" w:styleId="11">
    <w:name w:val="toc 1"/>
    <w:basedOn w:val="a"/>
    <w:next w:val="a"/>
    <w:autoRedefine/>
    <w:uiPriority w:val="39"/>
    <w:unhideWhenUsed/>
    <w:qFormat/>
    <w:rsid w:val="00E94672"/>
    <w:pPr>
      <w:spacing w:after="100"/>
    </w:pPr>
    <w:rPr>
      <w:rFonts w:asciiTheme="minorHAnsi" w:eastAsiaTheme="minorEastAsia" w:hAnsiTheme="minorHAnsi" w:cstheme="minorBidi"/>
      <w:lang w:eastAsia="en-US"/>
    </w:rPr>
  </w:style>
  <w:style w:type="paragraph" w:styleId="31">
    <w:name w:val="toc 3"/>
    <w:basedOn w:val="a"/>
    <w:next w:val="a"/>
    <w:autoRedefine/>
    <w:uiPriority w:val="39"/>
    <w:unhideWhenUsed/>
    <w:rsid w:val="00E94672"/>
    <w:pPr>
      <w:spacing w:after="100"/>
      <w:ind w:left="440"/>
    </w:pPr>
  </w:style>
  <w:style w:type="character" w:customStyle="1" w:styleId="UnresolvedMention">
    <w:name w:val="Unresolved Mention"/>
    <w:basedOn w:val="a0"/>
    <w:uiPriority w:val="99"/>
    <w:semiHidden/>
    <w:unhideWhenUsed/>
    <w:rsid w:val="00E94672"/>
    <w:rPr>
      <w:color w:val="605E5C"/>
      <w:shd w:val="clear" w:color="auto" w:fill="E1DFDD"/>
    </w:rPr>
  </w:style>
  <w:style w:type="paragraph" w:styleId="af1">
    <w:name w:val="Balloon Text"/>
    <w:basedOn w:val="a"/>
    <w:link w:val="af2"/>
    <w:uiPriority w:val="99"/>
    <w:semiHidden/>
    <w:unhideWhenUsed/>
    <w:rsid w:val="00E94672"/>
    <w:pPr>
      <w:spacing w:after="0" w:line="240" w:lineRule="auto"/>
    </w:pPr>
    <w:rPr>
      <w:rFonts w:ascii="Tahoma" w:hAnsi="Tahoma" w:cs="Tahoma"/>
      <w:sz w:val="16"/>
      <w:szCs w:val="16"/>
    </w:rPr>
  </w:style>
  <w:style w:type="character" w:customStyle="1" w:styleId="af2">
    <w:name w:val="Текст у виносці Знак"/>
    <w:basedOn w:val="a0"/>
    <w:link w:val="af1"/>
    <w:uiPriority w:val="99"/>
    <w:semiHidden/>
    <w:rsid w:val="00E94672"/>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62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snyk-juris-uzhnu.com/wp-content/uploads/2026/03/5-2.pdf" TargetMode="External"/><Relationship Id="rId18" Type="http://schemas.openxmlformats.org/officeDocument/2006/relationships/hyperlink" Target="https://www.golos.com.ua/article/392275" TargetMode="External"/><Relationship Id="rId26" Type="http://schemas.openxmlformats.org/officeDocument/2006/relationships/hyperlink" Target="https://visnyk-juris-uzhnu.com/wp-content/uploads/2026/03/26-2.pdf" TargetMode="External"/><Relationship Id="rId39" Type="http://schemas.openxmlformats.org/officeDocument/2006/relationships/hyperlink" Target="https://zn.ua/ukr/ECONOMICS/klichko-rozpoviv-chi-vstihne-kijiv-vidnoviti-enerhoobjekti-do-pochatku-opaljuvalnoho-sezonu.html" TargetMode="External"/><Relationship Id="rId3" Type="http://schemas.openxmlformats.org/officeDocument/2006/relationships/settings" Target="settings.xml"/><Relationship Id="rId21" Type="http://schemas.openxmlformats.org/officeDocument/2006/relationships/hyperlink" Target="https://ua.korrespondent.net/ukraine/4905247-prezydent-pidpysav-ukaz-pro-vstanovlennia-pamiatnyka-mazepi-v-kyievi" TargetMode="External"/><Relationship Id="rId34" Type="http://schemas.openxmlformats.org/officeDocument/2006/relationships/hyperlink" Target="https://pa.stateandregions.zp.ua/archive/2_2026/11.pdf" TargetMode="External"/><Relationship Id="rId42" Type="http://schemas.openxmlformats.org/officeDocument/2006/relationships/hyperlink" Target="https://visnyk-juris-uzhnu.com/wp-content/uploads/2026/03/27-4.pdf" TargetMode="External"/><Relationship Id="rId47" Type="http://schemas.openxmlformats.org/officeDocument/2006/relationships/hyperlink" Target="https://fakty.ua/476518-klichko-rasskazal-uspeet-li-kiev-vozobnovit-energoobekty-k-nachalu-otopitelnogo-sezona" TargetMode="External"/><Relationship Id="rId50" Type="http://schemas.openxmlformats.org/officeDocument/2006/relationships/hyperlink" Target="https://www.golos.com.ua/article/392169" TargetMode="External"/><Relationship Id="rId7" Type="http://schemas.openxmlformats.org/officeDocument/2006/relationships/hyperlink" Target="http://nplu.org/article.php?id=423&amp;subject=3" TargetMode="External"/><Relationship Id="rId12" Type="http://schemas.openxmlformats.org/officeDocument/2006/relationships/hyperlink" Target="https://focus.ua/uk/ukraine/763673-terehov-proponuye-pidvishchiti-minimalnu-zarplatu-do-10-tis-grn-a-pensiyu-do-6-tis-grn" TargetMode="External"/><Relationship Id="rId17" Type="http://schemas.openxmlformats.org/officeDocument/2006/relationships/hyperlink" Target="https://pa.stateandregions.zp.ua/archive/2_2026/6.pdf" TargetMode="External"/><Relationship Id="rId25" Type="http://schemas.openxmlformats.org/officeDocument/2006/relationships/hyperlink" Target="https://pa.stateandregions.zp.ua/archive/2_2026/16.pdf" TargetMode="External"/><Relationship Id="rId33" Type="http://schemas.openxmlformats.org/officeDocument/2006/relationships/hyperlink" Target="https://pa.stateandregions.zp.ua/archive/1_2026/12.pdf" TargetMode="External"/><Relationship Id="rId38" Type="http://schemas.openxmlformats.org/officeDocument/2006/relationships/hyperlink" Target="https://zn.ua/ukr/energetics/skilki-tepla-potribno-kijevu-abo-shcho-treba-zrobiti-abi-perezhiti-zimu.html" TargetMode="External"/><Relationship Id="rId46" Type="http://schemas.openxmlformats.org/officeDocument/2006/relationships/hyperlink" Target="https://ua.korrespondent.net/ukraine/4902518-mizhnarodnyi-reiestr-zbytkiv-dlia-ukrainy-vidkryv-novi-katehorii-zaiav" TargetMode="External"/><Relationship Id="rId2" Type="http://schemas.openxmlformats.org/officeDocument/2006/relationships/styles" Target="styles.xml"/><Relationship Id="rId16" Type="http://schemas.openxmlformats.org/officeDocument/2006/relationships/hyperlink" Target="https://www.golos.com.ua/article/392186" TargetMode="External"/><Relationship Id="rId20" Type="http://schemas.openxmlformats.org/officeDocument/2006/relationships/hyperlink" Target="https://ukurier.gov.ua/uk/articles/karpatska-iniciativa-dovkillya-bezpeka-ekonomika-t/" TargetMode="External"/><Relationship Id="rId29" Type="http://schemas.openxmlformats.org/officeDocument/2006/relationships/hyperlink" Target="https://pa.stateandregions.zp.ua/archive/1_2026/8.pdf" TargetMode="External"/><Relationship Id="rId41" Type="http://schemas.openxmlformats.org/officeDocument/2006/relationships/hyperlink" Target="https://visnyk-juris-uzhnu.com/wp-content/uploads/2026/05/30.pdf"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visnyk-juris-uzhnu.com/wp-content/uploads/2026/05/18.pdf" TargetMode="External"/><Relationship Id="rId24" Type="http://schemas.openxmlformats.org/officeDocument/2006/relationships/hyperlink" Target="https://ukurier.gov.ua/uk/articles/konkretna-pidtrimka-prifrontovih-gromad/" TargetMode="External"/><Relationship Id="rId32" Type="http://schemas.openxmlformats.org/officeDocument/2006/relationships/hyperlink" Target="https://yur-gazeta.com/golovna/pidgotovka-do-opalyuvalnogo-sezonu-rnbo-rozglyanula-plani-stiykosti-regioniv.html" TargetMode="External"/><Relationship Id="rId37" Type="http://schemas.openxmlformats.org/officeDocument/2006/relationships/hyperlink" Target="https://wz.lviv.ua/news/556759-sadovyi-vidvidav-odesu-pislia-masovanoi-ataky-zustrivsia-z-viiskovymy-ta-komanduvachem-vms" TargetMode="External"/><Relationship Id="rId40" Type="http://schemas.openxmlformats.org/officeDocument/2006/relationships/hyperlink" Target="https://visnyk-juris-uzhnu.com/wp-content/uploads/2026/05/66.pdf" TargetMode="External"/><Relationship Id="rId45" Type="http://schemas.openxmlformats.org/officeDocument/2006/relationships/hyperlink" Target="https://ua.korrespondent.net/city/kiev/4900334-vartist-planu-stiikosti-kyieva-zmenshyly-maizhe-vdvichi" TargetMode="External"/><Relationship Id="rId5" Type="http://schemas.openxmlformats.org/officeDocument/2006/relationships/image" Target="media/image1.png"/><Relationship Id="rId15" Type="http://schemas.openxmlformats.org/officeDocument/2006/relationships/hyperlink" Target="https://detector.media/infospace/article/251716/2026-08-06-u-drogobychi-zaboronyly-rosiyskomovni-kulturni-produkty-v-publichnykh-mistsyakh/" TargetMode="External"/><Relationship Id="rId23" Type="http://schemas.openxmlformats.org/officeDocument/2006/relationships/hyperlink" Target="https://visnyk-juris-uzhnu.com/wp-content/uploads/2026/05/23-1.pdf" TargetMode="External"/><Relationship Id="rId28" Type="http://schemas.openxmlformats.org/officeDocument/2006/relationships/hyperlink" Target="https://visnyk-juris-uzhnu.com/wp-content/uploads/2026/05/24.pdf" TargetMode="External"/><Relationship Id="rId36" Type="http://schemas.openxmlformats.org/officeDocument/2006/relationships/hyperlink" Target="https://pa.stateandregions.zp.ua/archive/2_2026/12.pdf" TargetMode="External"/><Relationship Id="rId49" Type="http://schemas.openxmlformats.org/officeDocument/2006/relationships/hyperlink" Target="https://visnyk-juris-uzhnu.com/wp-content/uploads/2026/05/15-1.pdf" TargetMode="External"/><Relationship Id="rId10" Type="http://schemas.openxmlformats.org/officeDocument/2006/relationships/hyperlink" Target="https://visnyk-juris-uzhnu.com/wp-content/uploads/2026/05/38-1.pdf" TargetMode="External"/><Relationship Id="rId19" Type="http://schemas.openxmlformats.org/officeDocument/2006/relationships/hyperlink" Target="https://visnyk-juris-uzhnu.com/wp-content/uploads/2026/03/15-2.pdf" TargetMode="External"/><Relationship Id="rId31" Type="http://schemas.openxmlformats.org/officeDocument/2006/relationships/hyperlink" Target="https://visnyk-juris-uzhnu.com/wp-content/uploads/2026/05/25-1.pdf" TargetMode="External"/><Relationship Id="rId44" Type="http://schemas.openxmlformats.org/officeDocument/2006/relationships/hyperlink" Target="https://pa.stateandregions.zp.ua/archive/1_2026/23.pdf"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visnyk-juris-uzhnu.com/wp-content/uploads/2026/05/17.pdf" TargetMode="External"/><Relationship Id="rId14" Type="http://schemas.openxmlformats.org/officeDocument/2006/relationships/hyperlink" Target="https://pa.stateandregions.zp.ua/archive/2_2026/5.pdf" TargetMode="External"/><Relationship Id="rId22" Type="http://schemas.openxmlformats.org/officeDocument/2006/relationships/hyperlink" Target="https://visnyk-juris-uzhnu.com/wp-content/uploads/2026/05/22.pdf" TargetMode="External"/><Relationship Id="rId27" Type="http://schemas.openxmlformats.org/officeDocument/2006/relationships/hyperlink" Target="https://ua.korrespondent.net/business/economics/4906856-u-kostiantynivtsi-vydaly-ponad-7-mlrd-kompensatsii-za-zruinovane-zhytlo" TargetMode="External"/><Relationship Id="rId30" Type="http://schemas.openxmlformats.org/officeDocument/2006/relationships/hyperlink" Target="https://www.golos.com.ua/article/392293" TargetMode="External"/><Relationship Id="rId35" Type="http://schemas.openxmlformats.org/officeDocument/2006/relationships/hyperlink" Target="https://ua.korrespondent.net/kyiv/4905274-skhovauitsia-ne-vsi-skilky-novykh-ukryttiv-zbuduvaly-u-kyievi-z-2022-roku" TargetMode="External"/><Relationship Id="rId43" Type="http://schemas.openxmlformats.org/officeDocument/2006/relationships/hyperlink" Target="https://risu.ua/u-kmda-zaklikayut-posiliti-zahist-kulturnoyi-spadshchini_n165627" TargetMode="External"/><Relationship Id="rId48" Type="http://schemas.openxmlformats.org/officeDocument/2006/relationships/hyperlink" Target="https://fakty.ua/476393-nalogovaya-vzyalas-za-ogorody-komu-za-yabloki-kartofel-i-igrushki-grozit-shtraf" TargetMode="External"/><Relationship Id="rId8" Type="http://schemas.openxmlformats.org/officeDocument/2006/relationships/hyperlink" Target="https://fakty.ua/476495-ne-govorish-po-ukrainski---zaplati-shtraf-v-rade-gotovyat-zhestkie-izmeneniya"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28</Pages>
  <Words>40638</Words>
  <Characters>23165</Characters>
  <Application>Microsoft Office Word</Application>
  <DocSecurity>0</DocSecurity>
  <Lines>193</Lines>
  <Paragraphs>127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Віра</dc:creator>
  <cp:keywords/>
  <dc:description/>
  <cp:lastModifiedBy>Віра</cp:lastModifiedBy>
  <cp:revision>10</cp:revision>
  <dcterms:created xsi:type="dcterms:W3CDTF">2026-03-03T07:58:00Z</dcterms:created>
  <dcterms:modified xsi:type="dcterms:W3CDTF">2026-09-01T13:04:00Z</dcterms:modified>
</cp:coreProperties>
</file>