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52" w:rsidRPr="00CC2BA3" w:rsidRDefault="00190D52" w:rsidP="00190D52">
      <w:pPr>
        <w:pStyle w:val="a3"/>
        <w:spacing w:after="0"/>
        <w:jc w:val="center"/>
        <w:rPr>
          <w:rFonts w:cs="Times New Roman"/>
          <w:b/>
          <w:sz w:val="32"/>
          <w:szCs w:val="32"/>
        </w:rPr>
      </w:pPr>
      <w:r w:rsidRPr="00CC2BA3">
        <w:rPr>
          <w:b/>
          <w:sz w:val="32"/>
          <w:szCs w:val="32"/>
          <w:lang w:val="uk-UA"/>
        </w:rPr>
        <w:t>Державне та публічне управління</w:t>
      </w:r>
      <w:r>
        <w:rPr>
          <w:b/>
          <w:sz w:val="32"/>
          <w:szCs w:val="32"/>
          <w:lang w:val="en-US"/>
        </w:rPr>
        <w:t xml:space="preserve"> </w:t>
      </w:r>
      <w:r w:rsidRPr="00CC2BA3">
        <w:rPr>
          <w:rFonts w:cs="Times New Roman"/>
          <w:b/>
          <w:sz w:val="32"/>
          <w:szCs w:val="32"/>
        </w:rPr>
        <w:t xml:space="preserve">: </w:t>
      </w:r>
    </w:p>
    <w:p w:rsidR="00190D52" w:rsidRPr="00D41F86" w:rsidRDefault="00190D52" w:rsidP="00190D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BA3">
        <w:rPr>
          <w:rFonts w:ascii="Times New Roman" w:hAnsi="Times New Roman" w:cs="Times New Roman"/>
          <w:b/>
          <w:i/>
          <w:sz w:val="28"/>
          <w:szCs w:val="28"/>
        </w:rPr>
        <w:t xml:space="preserve">анотований </w:t>
      </w:r>
      <w:r w:rsidRPr="00D41F86">
        <w:rPr>
          <w:rFonts w:ascii="Times New Roman" w:hAnsi="Times New Roman" w:cs="Times New Roman"/>
          <w:b/>
          <w:i/>
          <w:sz w:val="28"/>
          <w:szCs w:val="28"/>
        </w:rPr>
        <w:t>бібліографічний список</w:t>
      </w:r>
    </w:p>
    <w:p w:rsidR="00190D52" w:rsidRPr="00EC47B7" w:rsidRDefault="00190D52" w:rsidP="00190D5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41F86">
        <w:rPr>
          <w:rFonts w:ascii="Times New Roman" w:hAnsi="Times New Roman" w:cs="Times New Roman"/>
          <w:b/>
          <w:i/>
          <w:sz w:val="28"/>
          <w:szCs w:val="28"/>
        </w:rPr>
        <w:t xml:space="preserve">2024. – </w:t>
      </w:r>
      <w:proofErr w:type="spellStart"/>
      <w:r w:rsidRPr="00D41F86">
        <w:rPr>
          <w:rFonts w:ascii="Times New Roman" w:hAnsi="Times New Roman" w:cs="Times New Roman"/>
          <w:b/>
          <w:i/>
          <w:sz w:val="28"/>
          <w:szCs w:val="28"/>
        </w:rPr>
        <w:t>Вип</w:t>
      </w:r>
      <w:proofErr w:type="spellEnd"/>
      <w:r w:rsidRPr="00D41F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C0549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D41F86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 w:rsidR="0027481D">
        <w:rPr>
          <w:rFonts w:ascii="Times New Roman" w:hAnsi="Times New Roman" w:cs="Times New Roman"/>
          <w:b/>
          <w:i/>
          <w:sz w:val="28"/>
          <w:szCs w:val="28"/>
        </w:rPr>
        <w:t>10</w:t>
      </w:r>
      <w:bookmarkStart w:id="0" w:name="_GoBack"/>
      <w:bookmarkEnd w:id="0"/>
      <w:r w:rsidRPr="00D41F86">
        <w:rPr>
          <w:rFonts w:ascii="Times New Roman" w:hAnsi="Times New Roman" w:cs="Times New Roman"/>
          <w:b/>
          <w:i/>
          <w:sz w:val="28"/>
          <w:szCs w:val="28"/>
        </w:rPr>
        <w:t xml:space="preserve"> с.</w:t>
      </w:r>
    </w:p>
    <w:p w:rsidR="001D7874" w:rsidRDefault="0027481D"/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108">
        <w:rPr>
          <w:rFonts w:ascii="Times New Roman" w:hAnsi="Times New Roman" w:cs="Times New Roman"/>
          <w:b/>
          <w:bCs/>
          <w:sz w:val="28"/>
          <w:szCs w:val="28"/>
        </w:rPr>
        <w:t>Агапова</w:t>
      </w:r>
      <w:proofErr w:type="spellEnd"/>
      <w:r w:rsidRPr="00303108">
        <w:rPr>
          <w:rFonts w:ascii="Times New Roman" w:hAnsi="Times New Roman" w:cs="Times New Roman"/>
          <w:b/>
          <w:bCs/>
          <w:sz w:val="28"/>
          <w:szCs w:val="28"/>
        </w:rPr>
        <w:t xml:space="preserve"> О. В. До питання визначення спеціальних суб’єктів публічного адміністрування у сфері виконання кримінальних покарань та </w:t>
      </w:r>
      <w:proofErr w:type="spellStart"/>
      <w:r w:rsidRPr="00303108">
        <w:rPr>
          <w:rFonts w:ascii="Times New Roman" w:hAnsi="Times New Roman" w:cs="Times New Roman"/>
          <w:b/>
          <w:bCs/>
          <w:sz w:val="28"/>
          <w:szCs w:val="28"/>
        </w:rPr>
        <w:t>пробації</w:t>
      </w:r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  [Електронний </w:t>
      </w:r>
      <w:proofErr w:type="spellStart"/>
      <w:r w:rsidRPr="00303108"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] / О. В. </w:t>
      </w:r>
      <w:bookmarkStart w:id="1" w:name="_Hlk167793075"/>
      <w:proofErr w:type="spellStart"/>
      <w:r w:rsidRPr="00303108">
        <w:rPr>
          <w:rFonts w:ascii="Times New Roman" w:hAnsi="Times New Roman" w:cs="Times New Roman"/>
          <w:sz w:val="28"/>
          <w:szCs w:val="28"/>
        </w:rPr>
        <w:t>Агапова</w:t>
      </w:r>
      <w:bookmarkEnd w:id="1"/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 // Київ. </w:t>
      </w:r>
      <w:proofErr w:type="spellStart"/>
      <w:r w:rsidRPr="00303108">
        <w:rPr>
          <w:rFonts w:ascii="Times New Roman" w:hAnsi="Times New Roman" w:cs="Times New Roman"/>
          <w:sz w:val="28"/>
          <w:szCs w:val="28"/>
        </w:rPr>
        <w:t>часоп</w:t>
      </w:r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. права. – 2024. – № 1. – С. 92-98. 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Виокремлено головний суб’єкт, що наділений виключною компетенцією на забезпечення формування та реалізацію державної політики у сфері виконання кримінальних покарань та </w:t>
      </w:r>
      <w:proofErr w:type="spellStart"/>
      <w:r w:rsidRPr="00303108">
        <w:rPr>
          <w:rFonts w:ascii="Times New Roman" w:hAnsi="Times New Roman" w:cs="Times New Roman"/>
          <w:i/>
          <w:iCs/>
          <w:sz w:val="28"/>
          <w:szCs w:val="28"/>
        </w:rPr>
        <w:t>пробації</w:t>
      </w:r>
      <w:proofErr w:type="spellEnd"/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 – Міністерство юстиції України та встановлено коло інших відповідальних суб’єктів, створених для забезпечення виконання завдань Державної кримінально-виконавчої служби України. Окрему увагу приділено функціонуванню органів </w:t>
      </w:r>
      <w:proofErr w:type="spellStart"/>
      <w:r w:rsidRPr="00303108">
        <w:rPr>
          <w:rFonts w:ascii="Times New Roman" w:hAnsi="Times New Roman" w:cs="Times New Roman"/>
          <w:i/>
          <w:iCs/>
          <w:sz w:val="28"/>
          <w:szCs w:val="28"/>
        </w:rPr>
        <w:t>пробації</w:t>
      </w:r>
      <w:proofErr w:type="spellEnd"/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 та відзначено наполегливу роботу із запровадження цього інституту як ефективного чинника демократичного суспільства. Розкрито основні напрями функціонування єдиної державної установи – Центр </w:t>
      </w:r>
      <w:proofErr w:type="spellStart"/>
      <w:r w:rsidRPr="00303108">
        <w:rPr>
          <w:rFonts w:ascii="Times New Roman" w:hAnsi="Times New Roman" w:cs="Times New Roman"/>
          <w:i/>
          <w:iCs/>
          <w:sz w:val="28"/>
          <w:szCs w:val="28"/>
        </w:rPr>
        <w:t>пробації</w:t>
      </w:r>
      <w:proofErr w:type="spellEnd"/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. Наголошено на пріоритетній та вирішальній ролі органів та установ, що складають систему суб’єктів спеціальної компетенції у сфері юстиції України, а також на їх безпосередньому впливу на успішність процесу </w:t>
      </w:r>
      <w:proofErr w:type="spellStart"/>
      <w:r w:rsidRPr="00303108">
        <w:rPr>
          <w:rFonts w:ascii="Times New Roman" w:hAnsi="Times New Roman" w:cs="Times New Roman"/>
          <w:i/>
          <w:iCs/>
          <w:sz w:val="28"/>
          <w:szCs w:val="28"/>
        </w:rPr>
        <w:t>ресоціалізації</w:t>
      </w:r>
      <w:proofErr w:type="spellEnd"/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 засуджених осіб.</w:t>
      </w:r>
      <w:r w:rsidRPr="00303108">
        <w:rPr>
          <w:rFonts w:ascii="Times New Roman" w:hAnsi="Times New Roman" w:cs="Times New Roman"/>
          <w:sz w:val="28"/>
          <w:szCs w:val="28"/>
        </w:rPr>
        <w:t xml:space="preserve">  Текст: </w:t>
      </w:r>
      <w:hyperlink r:id="rId5" w:history="1">
        <w:r w:rsidRPr="00303108">
          <w:rPr>
            <w:rStyle w:val="a4"/>
            <w:rFonts w:ascii="Times New Roman" w:hAnsi="Times New Roman" w:cs="Times New Roman"/>
            <w:sz w:val="28"/>
            <w:szCs w:val="28"/>
          </w:rPr>
          <w:t>http://kyivchasprava.kneu.in.ua/index.php/kyivchasprava/article/view/407</w:t>
        </w:r>
      </w:hyperlink>
      <w:r w:rsidRPr="0030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3108">
        <w:rPr>
          <w:rFonts w:ascii="Times New Roman" w:hAnsi="Times New Roman" w:cs="Times New Roman"/>
          <w:b/>
          <w:bCs/>
          <w:sz w:val="28"/>
          <w:szCs w:val="28"/>
        </w:rPr>
        <w:t xml:space="preserve">Адміністративно-правовий режим воєнного стану як комплексний інструмент публічного адміністрування забезпечення прав, свобод і законних інтересів громадян та прав і законних інтересів фізичних осіб в умовах російсько-української війни </w:t>
      </w:r>
      <w:r w:rsidRPr="00303108">
        <w:rPr>
          <w:rFonts w:ascii="Times New Roman" w:hAnsi="Times New Roman" w:cs="Times New Roman"/>
          <w:sz w:val="28"/>
          <w:szCs w:val="28"/>
        </w:rPr>
        <w:t xml:space="preserve">[Електронний </w:t>
      </w:r>
      <w:proofErr w:type="spellStart"/>
      <w:r w:rsidRPr="00303108"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Pr="00303108">
        <w:rPr>
          <w:rFonts w:ascii="Times New Roman" w:hAnsi="Times New Roman" w:cs="Times New Roman"/>
          <w:sz w:val="28"/>
          <w:szCs w:val="28"/>
        </w:rPr>
        <w:t>] / О. П. </w:t>
      </w:r>
      <w:proofErr w:type="spellStart"/>
      <w:r w:rsidRPr="00303108">
        <w:rPr>
          <w:rFonts w:ascii="Times New Roman" w:hAnsi="Times New Roman" w:cs="Times New Roman"/>
          <w:sz w:val="28"/>
          <w:szCs w:val="28"/>
        </w:rPr>
        <w:t>Махмурова-Дишлюк</w:t>
      </w:r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 // Київ. </w:t>
      </w:r>
      <w:proofErr w:type="spellStart"/>
      <w:r w:rsidRPr="00303108">
        <w:rPr>
          <w:rFonts w:ascii="Times New Roman" w:hAnsi="Times New Roman" w:cs="Times New Roman"/>
          <w:sz w:val="28"/>
          <w:szCs w:val="28"/>
        </w:rPr>
        <w:t>часоп</w:t>
      </w:r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. права. – 2024. – № 1. – С. 185-190. 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Узагальнено, що в теорії адміністративного права України для потреб публічно адміністрування мирного часу інститут адміністративно-правових режим є важливим, однак не головним, проте, в умовах режиму воєнного стану він також стає головним. З’ясовано, що зміст адміністративно-правового режиму воєнного стану - це процес реалізації у формі адміністративних процедур забезпечення відсічі збройній агресії, звільнення тимчасово окупованих 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територій, захисту національних інтересів і цінностей України, захисту прав, свобод та інтересів фізичних осіб, прав та інтересів приватних юридичних осіб.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303108">
        <w:rPr>
          <w:rFonts w:ascii="Times New Roman" w:hAnsi="Times New Roman" w:cs="Times New Roman"/>
          <w:sz w:val="28"/>
          <w:szCs w:val="28"/>
        </w:rPr>
        <w:t xml:space="preserve"> Текст: </w:t>
      </w:r>
      <w:hyperlink r:id="rId6" w:history="1">
        <w:r w:rsidRPr="00303108">
          <w:rPr>
            <w:rStyle w:val="a4"/>
            <w:rFonts w:ascii="Times New Roman" w:hAnsi="Times New Roman" w:cs="Times New Roman"/>
            <w:sz w:val="28"/>
            <w:szCs w:val="28"/>
          </w:rPr>
          <w:t>http://kyivchasprava.kneu.in.ua/index.php/kyivchasprava/article/view/421</w:t>
        </w:r>
      </w:hyperlink>
      <w:r w:rsidRPr="0030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1D" w:rsidRPr="003C0549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108">
        <w:rPr>
          <w:rFonts w:ascii="Times New Roman" w:hAnsi="Times New Roman" w:cs="Times New Roman"/>
          <w:b/>
          <w:bCs/>
          <w:sz w:val="28"/>
          <w:szCs w:val="28"/>
        </w:rPr>
        <w:t>Вєршинін</w:t>
      </w:r>
      <w:proofErr w:type="spellEnd"/>
      <w:r w:rsidRPr="00303108">
        <w:rPr>
          <w:rFonts w:ascii="Times New Roman" w:hAnsi="Times New Roman" w:cs="Times New Roman"/>
          <w:b/>
          <w:bCs/>
          <w:sz w:val="28"/>
          <w:szCs w:val="28"/>
        </w:rPr>
        <w:t xml:space="preserve"> Б. М. Поняття та зміст публічного адміністрування інвестиційної діяльності в Україні</w:t>
      </w:r>
      <w:r w:rsidRPr="00303108">
        <w:rPr>
          <w:rFonts w:ascii="Times New Roman" w:hAnsi="Times New Roman" w:cs="Times New Roman"/>
          <w:sz w:val="28"/>
          <w:szCs w:val="28"/>
        </w:rPr>
        <w:t xml:space="preserve"> [Електронний </w:t>
      </w:r>
      <w:proofErr w:type="spellStart"/>
      <w:r w:rsidRPr="00303108"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] / Б. М. </w:t>
      </w:r>
      <w:bookmarkStart w:id="2" w:name="_Hlk167795513"/>
      <w:proofErr w:type="spellStart"/>
      <w:r w:rsidRPr="00303108">
        <w:rPr>
          <w:rFonts w:ascii="Times New Roman" w:hAnsi="Times New Roman" w:cs="Times New Roman"/>
          <w:sz w:val="28"/>
          <w:szCs w:val="28"/>
        </w:rPr>
        <w:t>Вєршинін</w:t>
      </w:r>
      <w:bookmarkEnd w:id="2"/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 // Київ. </w:t>
      </w:r>
      <w:proofErr w:type="spellStart"/>
      <w:r w:rsidRPr="00303108">
        <w:rPr>
          <w:rFonts w:ascii="Times New Roman" w:hAnsi="Times New Roman" w:cs="Times New Roman"/>
          <w:sz w:val="28"/>
          <w:szCs w:val="28"/>
        </w:rPr>
        <w:t>часоп</w:t>
      </w:r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. права. – 2024. – № 1. – С. 112-117. 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Розкрито зміст публічного адміністрування інвестиційної діяльності в Україні. Доведено, що це система адміністративної діяльності адміністративних органів, що здійснюється на основі уточнення та реалізації норм адміністративного права, в процесі надання адміністративних послуг здійснення розпорядчої та виконавчої діяльності з метою забезпечення сприятливого інвестиційного клімату, </w:t>
      </w:r>
      <w:r w:rsidRPr="003C0549">
        <w:rPr>
          <w:rFonts w:ascii="Times New Roman" w:hAnsi="Times New Roman" w:cs="Times New Roman"/>
          <w:i/>
          <w:iCs/>
          <w:sz w:val="28"/>
          <w:szCs w:val="28"/>
        </w:rPr>
        <w:t>ефективного використання інвестиційного потенціалу та створення умов для розвитку економіки країни, запобігання корупції у сфері фінансів та економіки.</w:t>
      </w:r>
      <w:r w:rsidRPr="003C0549">
        <w:rPr>
          <w:rFonts w:ascii="Times New Roman" w:hAnsi="Times New Roman" w:cs="Times New Roman"/>
          <w:sz w:val="28"/>
          <w:szCs w:val="28"/>
        </w:rPr>
        <w:t xml:space="preserve"> Текст: </w:t>
      </w:r>
      <w:hyperlink r:id="rId7" w:history="1">
        <w:r w:rsidRPr="003C0549">
          <w:rPr>
            <w:rStyle w:val="a4"/>
            <w:rFonts w:ascii="Times New Roman" w:hAnsi="Times New Roman" w:cs="Times New Roman"/>
            <w:sz w:val="28"/>
            <w:szCs w:val="28"/>
          </w:rPr>
          <w:t>http://kyivchasprava.kneu.in.ua/index.php/kyivchasprava/article/view/411</w:t>
        </w:r>
      </w:hyperlink>
      <w:r w:rsidRPr="003C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1D" w:rsidRPr="003C0549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3C05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Гірак</w:t>
      </w:r>
      <w:proofErr w:type="spellEnd"/>
      <w:r w:rsidRPr="003C05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Г. Допомога переселенцям: кому додатково дадуть майже по 11 тис. грн</w:t>
      </w:r>
      <w:r w:rsidRPr="003C05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[Електронний ресурс] / Галина </w:t>
      </w:r>
      <w:proofErr w:type="spellStart"/>
      <w:r w:rsidRPr="003C05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Гірак</w:t>
      </w:r>
      <w:proofErr w:type="spellEnd"/>
      <w:r w:rsidRPr="003C05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// Korrespondent.net : [</w:t>
      </w:r>
      <w:proofErr w:type="spellStart"/>
      <w:r w:rsidRPr="003C05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вебсайт</w:t>
      </w:r>
      <w:proofErr w:type="spellEnd"/>
      <w:r w:rsidRPr="003C05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]. – 2024. – 24 трав. — Електрон. дані</w:t>
      </w:r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. Зазначено, що 17.05.2024 Кабінет Міністрів України (КМ України) ухвалив рішення, що дозволить реалізувати спільний </w:t>
      </w:r>
      <w:proofErr w:type="spellStart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проєкт</w:t>
      </w:r>
      <w:proofErr w:type="spellEnd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Міністерства соціальної політики та Дитячого фонду ООН (ЮНІСЕФ) щодо екстреної додаткової допомоги родинам із вразливих категорій, які евакуювалися з громад Сумщини та Харківщини. Виплати у розмірі 10 800 грн на кожну особу надаватимуть тим сім’ям із дітьми, які з 01.05.2024 підлягають обов’язковій евакуації з цих областей і належать до однієї чи кількох наступних категорій: у складі сім'ї є особа або дитина з інвалідністю до 18 років; сім'я є багатодітною та має не менше ніж трьох дітей до 18 років; дітей виховує одинока мати чи одинокий батько; сім’я з дітьми віком до 18 років є малозабезпеченою. Окрему увагу приділено допомозі від держави для людей, які повторно евакуюються із небезпечних регіонів Харківщини: вони мають бути включеними до списків евакуйованих, складених місцевою владою та мають поновити статус внутрішньо переміщених осіб (ВПО). Подано алгоритми отримання вказаних виплат. Наведено роз'яснення </w:t>
      </w:r>
      <w:proofErr w:type="spellStart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lastRenderedPageBreak/>
        <w:t>міністерки</w:t>
      </w:r>
      <w:proofErr w:type="spellEnd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соціальної політики Оксани </w:t>
      </w:r>
      <w:proofErr w:type="spellStart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Жолнович</w:t>
      </w:r>
      <w:proofErr w:type="spellEnd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, віце-прем’єр-</w:t>
      </w:r>
      <w:proofErr w:type="spellStart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міністерки</w:t>
      </w:r>
      <w:proofErr w:type="spellEnd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міністерки</w:t>
      </w:r>
      <w:proofErr w:type="spellEnd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з питань реінтеграції тимчасово окупованих територій Ірини </w:t>
      </w:r>
      <w:proofErr w:type="spellStart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Верещук</w:t>
      </w:r>
      <w:proofErr w:type="spellEnd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щодо ключових питань отримання допомоги та, зокрема, ефективного реагування з боку держави та органів місцевого самоврядування (ОМС) на надзвичайні виклики війни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Текст: </w:t>
      </w:r>
      <w:hyperlink r:id="rId8" w:tgtFrame="_blank" w:history="1">
        <w:r w:rsidRPr="003C054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https://ua.korrespondent.net/articles/4689219-dopomoha-pereselentsiam-komu-dodatkovo-dadut-maizhe-po-11-tys-hrn</w:t>
        </w:r>
      </w:hyperlink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0310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Гудима Л. О. BIM-технології в будівництві: сучасні виклики для України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[Електронний ресурс] /  Л. О. Гудима // Бізнес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Інформ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– 2024. – № 2. – C. 97–104.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Вказано, що впровадження ВІМ-технологій є одним із ключових кроків до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цифровізації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будівельної галузі. ВІМ все частіше застосовують на тільки під час створення нових будівель, а й реконструкції та модернізації вже наявних об’єктів. Проаналізовано особливості 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ВІМ-технологій, розкрито сутність ВІМ-моделювання  та зарубіжних практик із застосування ВІМ для роботи з пошкодженими об‘єктами, що вимагають реконструкції. Наголошено на необхідності впровадження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ВІМ-технологій як одного з базових кроків на шляху до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цифровізації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будівельної галузі, які в сучасних реаліях поступово стають пріоритетом галузевої державної політики. Наведено Концепцію, яка містить в собі основні положення та механізми державної політики, що мають на меті закласти початок цифрових трансформацій будівельної галузі. Наголошено на необхідності впровадження ВІМ-технологій в Україні  як інноваційного та більш ефективного інструмента в питанні реконструкції та відновлення будівель. 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Текст : </w:t>
      </w:r>
      <w:hyperlink r:id="rId9" w:history="1">
        <w:r w:rsidRPr="0030310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https://www.business-inform.net/article/?year=2024&amp;abstract=2024_2_0_97_104</w:t>
        </w:r>
      </w:hyperlink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 w:rsidRPr="0030310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Домбровська  С. М. Забезпечення конкурентоспроможності економіки України: механізми державного управління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/ С. М. Домбровська, Н. М.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Карпеко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В. О.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Шведун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ун-т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цивіл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захисту України. – Харків :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Діса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плюс, 2024. – 180 с. :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іл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 w:rsidRPr="0030310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Шифр зберігання в Бібліотеці: А830772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Розкрито сутність конкурентоспроможності економіки як об’єкта державного управління. Розглянуто механізми державного управління забезпеченням конкурентоспроможності економіки та проаналізовано досвід зарубіжних 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lastRenderedPageBreak/>
        <w:t>країн у цій сфері.  Запропоновано інноваційні напрями трансформації механізмів державного управління забезпеченням конкурентоспроможності економіки на регіональному рівні. Виокремлено перспективні орієнтири розвитку державного управління забезпеченням конкурентоспроможності економіки України. </w:t>
      </w:r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0310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Дяченко М. Формування інноваційної моделі розвитку аграрного сектору України</w:t>
      </w:r>
      <w:r w:rsidRPr="00303108">
        <w:rPr>
          <w:rFonts w:ascii="Times New Roman" w:hAnsi="Times New Roman" w:cs="Times New Roman"/>
          <w:color w:val="222222"/>
          <w:sz w:val="28"/>
          <w:szCs w:val="28"/>
        </w:rPr>
        <w:t> [Електронний ресурс] / М. Дяченко // Наука і техніка сьогодні. Серія : Право. Економіка.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03108">
        <w:rPr>
          <w:rFonts w:ascii="Times New Roman" w:hAnsi="Times New Roman" w:cs="Times New Roman"/>
          <w:color w:val="222222"/>
          <w:sz w:val="28"/>
          <w:szCs w:val="28"/>
        </w:rPr>
        <w:t xml:space="preserve">Педагогіка. Техніка.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</w:rPr>
        <w:t>Фіз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</w:rPr>
        <w:t>.-мат. науки. – 2024. – № 4. – С. 299-312.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Розкрито економічну сутність інновацій та визначено їх особливості в аграрному секторі економіки. Доведено, що впровадження інноваційної моделі розвитку аграрного сектора економіки України є ключовим для ефективності всієї економічної системи країни та значною мірою залежить від результатів інноваційної діяльності та створених умов у державі для її втілення  на всіх  етапах – від концепції до впровадження інноваційного продукту. Вказано, що формування інноваційної моделі розвитку аграрного сектора стає неможливим без  створення інноваційної інфраструктури та готовності суспільства приймати нововведення. Ринок інноваційних продуктів у сфері аграрного виробництва та інших секторах повинен бути насичений. Цю  роль виконує наука, яка сприяє розробці та передачі інновацій, що спрямовані на досягнення не лише економічних, а й екологічних, соціальних або комплексних результатів, і які можуть бути використані різноманітними групами споживачів, включаючи органи державного та місцевого управління та підприємства. </w:t>
      </w:r>
      <w:r w:rsidRPr="00303108">
        <w:rPr>
          <w:rFonts w:ascii="Times New Roman" w:hAnsi="Times New Roman" w:cs="Times New Roman"/>
          <w:color w:val="222222"/>
          <w:sz w:val="28"/>
          <w:szCs w:val="28"/>
        </w:rPr>
        <w:t>Текст : </w:t>
      </w:r>
      <w:hyperlink r:id="rId10" w:tgtFrame="_blank" w:history="1">
        <w:r w:rsidRPr="00303108">
          <w:rPr>
            <w:rStyle w:val="a4"/>
            <w:rFonts w:ascii="Times New Roman" w:hAnsi="Times New Roman" w:cs="Times New Roman"/>
            <w:color w:val="1155CC"/>
            <w:sz w:val="28"/>
            <w:szCs w:val="28"/>
          </w:rPr>
          <w:t>http://perspectives.pp.ua/index.php/nts/article/view/10871/10930</w:t>
        </w:r>
      </w:hyperlink>
    </w:p>
    <w:p w:rsidR="0027481D" w:rsidRPr="003C0549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proofErr w:type="spellStart"/>
      <w:r w:rsidRPr="0030310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Етнополітика</w:t>
      </w:r>
      <w:proofErr w:type="spellEnd"/>
      <w:r w:rsidRPr="0030310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в Україні в умовах сучасних суспільно-політичних змін: реальний стан, виклики, перспективи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/ [В. А.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Войналович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ін. ; наук. ред. В. А.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Войналович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] ; НАН України, Ін-т політ. і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етнонац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дослідж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ім. І. Ф. Кураса. – Київ :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ІПіЕНД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ім. І. Ф. Кураса НАН України, 2023. – 423 с. </w:t>
      </w:r>
      <w:r w:rsidRPr="0030310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Шифр зберігання в Бібліотеці: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0310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А830852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У монографії проаналізовано досвід політик європейських країн в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етнополітичній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сфері, можливості його використання у вітчизняних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етнополітичних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практиках. Досліджено динаміку змін національно-громадянських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ідентичностей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в Україні, впливу на цю динаміку 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lastRenderedPageBreak/>
        <w:t xml:space="preserve">російсько-української війни. Актуалізовано проблему взаємозв’язку та взаємовпливу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етнополітики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і міграційної політики в умовах російської агресії та подальшої відбудови.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Осмислено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моделі державної політики у релігійній сфері України,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обгрунтовано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сутнісні ознаки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сек’юритизаційних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заходів.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Обгрунтовано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особливості політики пам’яті у контексті нав’язаної РФ інформаційної війни. Сформульовано пропозиції органам державної влади, місцевого самоврядування щодо моделювання та реалізації вітчизняної етнонаціональної політики в умовах воєнного часу, повоєнних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модернізаційних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процесів. </w:t>
      </w:r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</w:pPr>
      <w:r w:rsidRPr="0030310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Європейські орієнтири публічного управління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/ [Ю. Ю. Лихач та ін. ; за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заг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ред. Н. О.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Алюшиної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] ;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агентство України з питань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служби, Вища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публіч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Київ : б. в., 2023. – 220 с. :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іл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табл. </w:t>
      </w:r>
      <w:r w:rsidRPr="0030310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Шифр зберігання в Бібліотеці: В83231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У монографії висвітлено актуальні питання відносин України з Європейським Союзом (ЄС). Акцентовано увагу на реалізації європейських цінностей у системі публічного управління, формуванні громадянської (політичної) освіти в ЄС. Розкрито теоретичні та практичні аспекти адаптації вітчизняного законодавства до права ЄС. Розглянуто проблеми імплементації європейських стандартів соціального діалогу в контексті відновлення та розвитку України. Описано інструменти розбудови інституційної спроможності органів державної влади та органів місцевого самоврядування. Приділено увагу питанням європейської ідентичності та культурного різноманіття.</w:t>
      </w:r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3108">
        <w:rPr>
          <w:rFonts w:ascii="Times New Roman" w:hAnsi="Times New Roman" w:cs="Times New Roman"/>
          <w:b/>
          <w:bCs/>
          <w:sz w:val="28"/>
          <w:szCs w:val="28"/>
        </w:rPr>
        <w:t xml:space="preserve">Загородній М. Запоріжжя, Суми та Київ: як військові адміністрації конфліктують із місцевим самоврядуванням та що з цим робити </w:t>
      </w:r>
      <w:r w:rsidRPr="00303108">
        <w:rPr>
          <w:rFonts w:ascii="Times New Roman" w:hAnsi="Times New Roman" w:cs="Times New Roman"/>
          <w:sz w:val="28"/>
          <w:szCs w:val="28"/>
        </w:rPr>
        <w:t xml:space="preserve">[Електронний ресурс] / Михайло Загородній // Дзеркало тижня. – 2024. – 17 трав. – Електрон. дані. 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Йдеться про те, що військові адміністрації (ВА) від початку повномасштабної війни стали невід’ємною частиною життя. Та попри їхню помітну роль у державному та місцевому управлінні, Україна досі не має окремого законодавства, яке б регулювало їхню непрозору діяльність. Ситуацію погіршує відсутність чітких критеріїв створення та ліквідації ВА: якщо на рівні областей вони були утворені 22 лютого 2022 р., то на рівні 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населених пунктів їх кількість </w:t>
      </w:r>
      <w:proofErr w:type="spellStart"/>
      <w:r w:rsidRPr="00303108">
        <w:rPr>
          <w:rFonts w:ascii="Times New Roman" w:hAnsi="Times New Roman" w:cs="Times New Roman"/>
          <w:i/>
          <w:iCs/>
          <w:sz w:val="28"/>
          <w:szCs w:val="28"/>
        </w:rPr>
        <w:t>інтенсивно</w:t>
      </w:r>
      <w:proofErr w:type="spellEnd"/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 збільшується впродовж війни. Крім того, нерідко головами таких ВА стають призначені президентом правоохоронці чи представники партії «Слуга народу». Але головне, що все це відбувається на тлі загострення ситуації на фронті й безпосередньо впливає на атмосферу в громадах. Особливо в прифронтових, як-от Запоріжжя та Суми. </w:t>
      </w:r>
      <w:r w:rsidRPr="00303108">
        <w:rPr>
          <w:rFonts w:ascii="Times New Roman" w:hAnsi="Times New Roman" w:cs="Times New Roman"/>
          <w:sz w:val="28"/>
          <w:szCs w:val="28"/>
        </w:rPr>
        <w:t xml:space="preserve">Текст: </w:t>
      </w:r>
      <w:hyperlink r:id="rId11" w:history="1">
        <w:r w:rsidRPr="00303108">
          <w:rPr>
            <w:rStyle w:val="a4"/>
            <w:rFonts w:ascii="Times New Roman" w:hAnsi="Times New Roman" w:cs="Times New Roman"/>
            <w:sz w:val="28"/>
            <w:szCs w:val="28"/>
          </w:rPr>
          <w:t>https://zn.ua/ukr/UKRAINE/zaporizhzhja-sumi-ta-kijiv-jak-vijskovi-administratsiji-konfliktujut-iz-mistsevim-samovrjaduvannjam-ta-shcho-z-tsim-robiti.html</w:t>
        </w:r>
      </w:hyperlink>
      <w:r w:rsidRPr="0030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 w:rsidRPr="0030310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Захист прав і свобод людини та громадянина в умовах формування правової держави 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зб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тез XII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Всеукр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наук.-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[м.] Львів, 30 трав. 2023 р. / М-во освіти і науки України,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ун-т «Львів. політехніка»,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.-наук. ін-т права, психології та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інновац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освіти. – Львів : Вид-во Львів. політехніки, 2023. – 207 с.: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іл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табл.</w:t>
      </w:r>
      <w:r w:rsidRPr="0030310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Шифр зберігання в Бібліотеці: В82810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Зі змісту:</w:t>
      </w:r>
      <w:r w:rsidRPr="0030310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Електронне урядування як засіб запобігання корупції / І.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Шульган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 – С.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87-88; Запобігання корупції у сфері охорони здоров’я як один з основних пріоритетів державної антикорупційної політики /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А. Олійник, В.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Канцір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 – С.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120-123.</w:t>
      </w:r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303108">
        <w:rPr>
          <w:rFonts w:ascii="Times New Roman" w:hAnsi="Times New Roman" w:cs="Times New Roman"/>
          <w:b/>
          <w:bCs/>
          <w:sz w:val="28"/>
          <w:szCs w:val="28"/>
        </w:rPr>
        <w:t>Махмурова-Дишлюк</w:t>
      </w:r>
      <w:proofErr w:type="spellEnd"/>
      <w:r w:rsidRPr="00303108">
        <w:rPr>
          <w:rFonts w:ascii="Times New Roman" w:hAnsi="Times New Roman" w:cs="Times New Roman"/>
          <w:b/>
          <w:bCs/>
          <w:sz w:val="28"/>
          <w:szCs w:val="28"/>
        </w:rPr>
        <w:t xml:space="preserve"> О. П. Видання нормативно-правових актів як інструментів публічного адміністрування забезпечення прав і свобод людини і громадянина в умовах воєнного конфлікту в Україні </w:t>
      </w:r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[Електронний ресурс] / О. П. 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Махмурова-Дишлюк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// 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Актуал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проблеми держави і права: 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наук. пр. / 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Нац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ун-т «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Одес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юрид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акад.» – Запоріжжя, 2024.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Вип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101. – С. 103-109. 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Розглянуто особливості видання нормативно-правових актів як інструментів публічного адміністрування для забезпечення прав і свобод громадян в умовах воєнного конфлікту в Україні. Показано, що це правотворча діяльність адміністративних органів, яка включає ухвалення та деталізацію правил на основі законів для запобігання і відновлення порушених прав. Нормативно-правові акти приймаються на основі Конституції, оборонних і правозахисних законів, та міжнародних договорів. Президент і Кабінет Міністрів видають укази та постанови, обов'язкові для виконавчої влади. Міністерства та центральні органи виконавчої влади затверджують 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інструкції та процедури для забезпечення прав і свобод громадян. На місцевому рівні військові адміністрації та органи самоврядування </w:t>
      </w:r>
      <w:proofErr w:type="spellStart"/>
      <w:r w:rsidRPr="00303108">
        <w:rPr>
          <w:rFonts w:ascii="Times New Roman" w:hAnsi="Times New Roman" w:cs="Times New Roman"/>
          <w:i/>
          <w:iCs/>
          <w:sz w:val="28"/>
          <w:szCs w:val="28"/>
        </w:rPr>
        <w:t>рідко</w:t>
      </w:r>
      <w:proofErr w:type="spellEnd"/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 видають підзаконні акти, використовуючи норми вищого рівня. </w:t>
      </w:r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Текст:</w:t>
      </w:r>
      <w:r w:rsidRPr="0030310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0310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http://apdp.in.ua/v101/14.pdf</w:t>
        </w:r>
      </w:hyperlink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3108">
        <w:rPr>
          <w:rFonts w:ascii="Times New Roman" w:hAnsi="Times New Roman" w:cs="Times New Roman"/>
          <w:b/>
          <w:bCs/>
          <w:sz w:val="28"/>
          <w:szCs w:val="28"/>
        </w:rPr>
        <w:t xml:space="preserve">Поняття публічного адміністрування декларування осіб, уповноважених на виконання функцій держави або місцевого самоврядування в Україні </w:t>
      </w:r>
      <w:r w:rsidRPr="00303108">
        <w:rPr>
          <w:rFonts w:ascii="Times New Roman" w:hAnsi="Times New Roman" w:cs="Times New Roman"/>
          <w:sz w:val="28"/>
          <w:szCs w:val="28"/>
        </w:rPr>
        <w:t xml:space="preserve">[Електронний </w:t>
      </w:r>
      <w:proofErr w:type="spellStart"/>
      <w:r w:rsidRPr="00303108"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] / О. О. Руденко // Київ. </w:t>
      </w:r>
      <w:proofErr w:type="spellStart"/>
      <w:r w:rsidRPr="00303108">
        <w:rPr>
          <w:rFonts w:ascii="Times New Roman" w:hAnsi="Times New Roman" w:cs="Times New Roman"/>
          <w:sz w:val="28"/>
          <w:szCs w:val="28"/>
        </w:rPr>
        <w:t>часоп</w:t>
      </w:r>
      <w:proofErr w:type="spellEnd"/>
      <w:r w:rsidRPr="00303108">
        <w:rPr>
          <w:rFonts w:ascii="Times New Roman" w:hAnsi="Times New Roman" w:cs="Times New Roman"/>
          <w:sz w:val="28"/>
          <w:szCs w:val="28"/>
        </w:rPr>
        <w:t xml:space="preserve">. права. – 2024. – № 1. – С. 202-206. 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t>Доведено, що головною рисою публічного адміністрування декларування осіб, уповноважених на виконання функцій держави або місцевого самоврядування в Україні є розпорядча та виконавча діяльність щодо здійснення превентивної антикорупційної функції виконавчої влади в Україні. Об’єктом аналізованих адміністративних відносин є декларація, з інформацією, поданою суб’єктом декларування за певною електронною формою, як об’єкт матеріального світу, що характеризується складаною адміністративно-правовою природою; також об’єктом в аналізованій сфері є широка палітра адміністративних дій суб’єктів подання та суб’єктів перевірки декларації.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3108">
        <w:rPr>
          <w:rFonts w:ascii="Times New Roman" w:hAnsi="Times New Roman" w:cs="Times New Roman"/>
          <w:sz w:val="28"/>
          <w:szCs w:val="28"/>
        </w:rPr>
        <w:t xml:space="preserve">Текст: </w:t>
      </w:r>
      <w:hyperlink r:id="rId13" w:history="1">
        <w:r w:rsidRPr="00303108">
          <w:rPr>
            <w:rStyle w:val="a4"/>
            <w:rFonts w:ascii="Times New Roman" w:hAnsi="Times New Roman" w:cs="Times New Roman"/>
            <w:sz w:val="28"/>
            <w:szCs w:val="28"/>
          </w:rPr>
          <w:t>http://kyivchasprava.kneu.in.ua/index.php/kyivchasprava/article/view/424</w:t>
        </w:r>
      </w:hyperlink>
      <w:r w:rsidRPr="0030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0310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Робоча група Комітету організації державної влади продовжує роботу над підготовкою до другого читання проекту Закону України про внесення змін до деяких законодавчих актів у зв’язку з прийняттям Закону України «Про адміністративну процедуру» 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[Електронний ресурс] / Прес-служба Апарату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Верхов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Ради України // Голос України. – 2024. – 22 трав.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[№ 92]. – Електрон. дані.</w:t>
      </w:r>
      <w:r w:rsidRPr="0030310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Подано інформацію, що 20 травня відбулося сьоме засідання Робочої групи Комітету Верховної Ради України (ВР України) з опрацювання та підготовки до другого читання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проєкту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Закону України про внесення змін до деяких законодавчих актів у зв’язку з прийняттям Закону України «Про адміністративну процедуру» (реєстр. № 10161). Зауважено, що народний депутат України, керівник Робочої групи Лариса Білозір звернула увагу учасників, що в межах підготовки до засідань Робочої групи було проаналізовано низку Законів України щодо необхідності їх приведення у 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lastRenderedPageBreak/>
        <w:t xml:space="preserve">відповідність до Закону України «Про адміністративну процедуру». За результатами опрацювання встановлено, що зазначені закони України відповідають вимогам цього Закону, у зв’язку з чим не потребують внесення до них змін і включення до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законопроєкту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з реєстр. № 10161.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Текст: </w:t>
      </w:r>
      <w:hyperlink r:id="rId14" w:tgtFrame="_blank" w:history="1">
        <w:r w:rsidRPr="00303108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http://www.golos.com.ua/article/378240</w:t>
        </w:r>
      </w:hyperlink>
    </w:p>
    <w:p w:rsidR="0027481D" w:rsidRPr="00303108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0310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Сучасні проблеми управління. Шлях до сталого миру після війни: держава, бізнес, інновації 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зб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матеріалів XII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Міжнар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наук.-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м. Київ, 24  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листоп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2023 р.  / М-во освіти і науки України,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ун-т України «Київ.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політехн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ін-т І. Сікорського» ; [уклад.: А. А. Мельниченко та ін.]. – Київ : КПІ ім. Ігоря Сікорського : Політехніка, 2023. – 224 с. : </w:t>
      </w:r>
      <w:proofErr w:type="spellStart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іл</w:t>
      </w:r>
      <w:proofErr w:type="spellEnd"/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табл.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 </w:t>
      </w:r>
      <w:r w:rsidRPr="0030310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Шифр зберігання в Бібліотеці: А830942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Зі змісту:</w:t>
      </w:r>
      <w:r w:rsidRPr="0030310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Передумови набуття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стратегічності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державним управлінням України у контексті наявного стану цієї галузі освіти та науки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/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С. О. Андреєв. – С. 13-16; Реалізація принципів сталого розвитку в процесах публічного управління територіальними громадами України у воєнний час / Н. Говорун. – С. 26-29;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Застосування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форсайт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-технологій в державному плануванні потреби у військових фахівцях з вищої освітою / А. А. Мельниченко, С. І.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Наєв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. – С. 47-50; Удосконалення управління персоналом в органах публічної влади в контексті сталого розвитку / І. В. Шкурат, О. Є.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Потапов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 – С. 68-70; Шляхи вдосконалення системи надання адміністративних послуг 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І. В. Шкурат, Л. Сімонова. – С. 71-73; Поняття «дезінформації» та «пропаганди» як завдання публічної влади / Т. М. Вегера. – С. 89-91; Тренди у публічному управлінні: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дaні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як інструмент суспільного блага / Л. Ф. Панченко. – С. 111-113; Впровадження штучного інтелекту у систему публічного управління / О. О. 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Гров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 – С. 125-128; Штучний інтелект у контексті застосування інноваційних підходів у публічному управлінні / О. А. Іщенко. – С. 128- 130; Інтегрування штучного інтелекту у мобільні застосунки, що надають державні та місцеві послуги / Д.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П. Костюк. – С. 133-136; Інтеграція штучного інтелекту в публічне управління: стратегії розвитку та визначення шляхів оптимального використання / М. М.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Мандула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. – С. 137-138; Виклики та загрози впровадження штучного інтелекту у систему публічного управління / О. Д. Міняйло. – С. 139-142; Революція штучного 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lastRenderedPageBreak/>
        <w:t>інтелекту в соціальній аналітиці та публічному управлінні: синергія технологій та суспільства / Ю. Перга. – С. 142-144;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Як уникнути ризиків витоку даних під час використання штучного інтелекту в управлінні / А. А. Таран, С. О.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Терзіогло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. – С. 144-147; Штучний інтелект в публічному управлінні: виклики та загрози / С. А.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Чукут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 – С. 147-152; Вплив участі громадян на розвиток демократичного врядування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О. О.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Бутник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 – С.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158-161; Роль системи загальнообов’язкового державного соціального страхування у державній політиці гарантування прав на охорону праці / Д. Р.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Гопаца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 – С. 167-170;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Комунікаційна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діяльність органів публічної влади як складова управлінської діяльності / С. І.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Омельчук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 –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С. 195-198; Інклюзивне урядування в Україні – досвід </w:t>
      </w:r>
      <w:proofErr w:type="spellStart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европейських</w:t>
      </w:r>
      <w:proofErr w:type="spellEnd"/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країн / І. Тимошенко. – С. 213-216. </w:t>
      </w:r>
      <w:r w:rsidRPr="00303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Текст:</w:t>
      </w:r>
      <w:r w:rsidRPr="0030310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hyperlink r:id="rId15" w:history="1">
        <w:r w:rsidRPr="0030310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https://ktpu.kpi.ua/wp-content/uploads/2024/03/Suchasni-problemy-upravlinnya-2023.pdf</w:t>
        </w:r>
      </w:hyperlink>
    </w:p>
    <w:p w:rsidR="0027481D" w:rsidRPr="003C0549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03108">
        <w:rPr>
          <w:rFonts w:ascii="Times New Roman" w:hAnsi="Times New Roman" w:cs="Times New Roman"/>
          <w:b/>
          <w:bCs/>
          <w:sz w:val="28"/>
          <w:szCs w:val="28"/>
        </w:rPr>
        <w:t xml:space="preserve">Швайка М. М. Адміністративно-правові засади взаємодії Служби безпеки України з публічною владою та громадськістю із забезпечення прав і свобод людини та громадянина </w:t>
      </w:r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[Електронний ресурс] / М. М. Швайка // 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Актуал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 проблеми держави і права: 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наук. пр. / 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Нац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ун-т «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Одес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юрид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акад.» – Запоріжжя, 2024. – </w:t>
      </w:r>
      <w:proofErr w:type="spellStart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Вип</w:t>
      </w:r>
      <w:proofErr w:type="spellEnd"/>
      <w:r w:rsidRPr="003031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101. – С. 188-194. </w:t>
      </w:r>
      <w:r w:rsidRPr="003031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П</w:t>
      </w:r>
      <w:r w:rsidRPr="00303108">
        <w:rPr>
          <w:rFonts w:ascii="Times New Roman" w:hAnsi="Times New Roman" w:cs="Times New Roman"/>
          <w:i/>
          <w:iCs/>
          <w:sz w:val="28"/>
          <w:szCs w:val="28"/>
        </w:rPr>
        <w:t xml:space="preserve">роаналізовано положення адміністративного законодавства зі здійснення взаємодії СБУ з органами публічної влади, громадянами щодо реалізації та </w:t>
      </w:r>
      <w:r w:rsidRPr="003C0549">
        <w:rPr>
          <w:rFonts w:ascii="Times New Roman" w:hAnsi="Times New Roman" w:cs="Times New Roman"/>
          <w:i/>
          <w:iCs/>
          <w:sz w:val="28"/>
          <w:szCs w:val="28"/>
        </w:rPr>
        <w:t xml:space="preserve">охорони конституційних прав. Окреслено стратегічний і тактичний напрями взаємодії. У першому випадку – це  виконання державної політики у правоохоронній сфері, запобігання правопорушенням, усунення причин і умов їхнього виникнення, удосконалення правової бази. За іншим напрямом – протидія і боротьба з протиправною діяльністю. Наведено форми взаємодії СБУ з органами державної влади, серед яких - проведення спільного аналізу стану, структури, причин і умов, що сприяють протиправній діяльності; обмін оперативною інформацією; розроблення й реалізація спільних програм, планів; проведення оперативно-розшукових, профілактичних заходів; проведення спільних колегій, нарад, семінарів; інформування громадськості про стан і результати діяльності. </w:t>
      </w:r>
      <w:r w:rsidRPr="003C05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Текст: </w:t>
      </w:r>
      <w:hyperlink r:id="rId16" w:history="1">
        <w:r w:rsidRPr="003C054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http://apdp.in.ua/v101/25.pdf</w:t>
        </w:r>
      </w:hyperlink>
      <w:r w:rsidRPr="003C05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27481D" w:rsidRPr="003C0549" w:rsidRDefault="0027481D" w:rsidP="0027481D">
      <w:pPr>
        <w:pStyle w:val="a5"/>
        <w:numPr>
          <w:ilvl w:val="0"/>
          <w:numId w:val="1"/>
        </w:numPr>
        <w:spacing w:before="120" w:after="0" w:line="360" w:lineRule="auto"/>
        <w:ind w:left="0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C05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 xml:space="preserve">Шевчук А. В Україні планується підвищення податків - </w:t>
      </w:r>
      <w:proofErr w:type="spellStart"/>
      <w:r w:rsidRPr="003C05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Гетманцев</w:t>
      </w:r>
      <w:proofErr w:type="spellEnd"/>
      <w:r w:rsidRPr="003C05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05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[Електронний ресурс] / А. Шевчук // Korrespondent.net : [</w:t>
      </w:r>
      <w:proofErr w:type="spellStart"/>
      <w:r w:rsidRPr="003C05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вебсайт</w:t>
      </w:r>
      <w:proofErr w:type="spellEnd"/>
      <w:r w:rsidRPr="003C05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]. – 2024. – 23 трав. — Електрон. дані</w:t>
      </w:r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. Наведено тези допису у </w:t>
      </w:r>
      <w:proofErr w:type="spellStart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Telegram</w:t>
      </w:r>
      <w:proofErr w:type="spellEnd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голови Комітету Верховної Ради України (ВР України) з питань фінансів, податкової та митної політики Данила </w:t>
      </w:r>
      <w:proofErr w:type="spellStart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Гетманцева</w:t>
      </w:r>
      <w:proofErr w:type="spellEnd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про те, що Кабінет Міністрів України (КМ України) планує підвищити окремі податки для наповнення бюджету. «Нам необхідно підвищити і видаткову і дохідну частину бюджету задля фінансування армії, яку ми фінансуємо за рахунок наших внутрішніх джерел. Ми не можемо запозичити ці кошти у партнерів», – пояснив депутат. За його словами, уряд зараз підраховує потреби, але вони дуже великі – не менше 300 млрд грн до кінця року. За повідомленням ЗМІ, у КМ України обговорюють підвищення ставок військового збору з 1,5 % до 5 % (аналогічну ставку податку в 5 % можуть запровадити і для </w:t>
      </w:r>
      <w:proofErr w:type="spellStart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ФОПів</w:t>
      </w:r>
      <w:proofErr w:type="spellEnd"/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) і податку на додану вартість (ПДВ).</w:t>
      </w:r>
      <w:r w:rsidRPr="003C054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C05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Текст:</w:t>
      </w:r>
      <w:r w:rsidRPr="003C05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hyperlink r:id="rId17" w:history="1">
        <w:r w:rsidRPr="003C054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https://ua.korrespondent.net/business/financial/4689106-v-ukraini-planuietsia-pidvyschennia-podatkiv-hetmantsev</w:t>
        </w:r>
      </w:hyperlink>
    </w:p>
    <w:p w:rsidR="0027481D" w:rsidRDefault="0027481D"/>
    <w:p w:rsidR="009923A6" w:rsidRDefault="009923A6"/>
    <w:p w:rsidR="009923A6" w:rsidRPr="00CC2BA3" w:rsidRDefault="009923A6" w:rsidP="009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_Hlk103935166"/>
      <w:r w:rsidRPr="00CC2BA3">
        <w:rPr>
          <w:rFonts w:ascii="Times New Roman" w:hAnsi="Times New Roman" w:cs="Times New Roman"/>
          <w:b/>
          <w:sz w:val="28"/>
          <w:szCs w:val="28"/>
        </w:rPr>
        <w:t xml:space="preserve">Підготовлено Відділом інформаційного забезпечення органів влади Національної бібліотеки України імені Ярослава Мудрого </w:t>
      </w:r>
    </w:p>
    <w:p w:rsidR="009923A6" w:rsidRPr="00CC2BA3" w:rsidRDefault="009923A6" w:rsidP="009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травня</w:t>
      </w:r>
      <w:proofErr w:type="spellEnd"/>
      <w:r w:rsidRPr="00CC2BA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2BA3">
        <w:rPr>
          <w:rFonts w:ascii="Times New Roman" w:hAnsi="Times New Roman" w:cs="Times New Roman"/>
          <w:b/>
          <w:sz w:val="28"/>
          <w:szCs w:val="28"/>
        </w:rPr>
        <w:t xml:space="preserve"> р.                 </w:t>
      </w:r>
    </w:p>
    <w:p w:rsidR="009923A6" w:rsidRPr="00D908E0" w:rsidRDefault="009923A6" w:rsidP="009923A6">
      <w:pPr>
        <w:spacing w:after="0"/>
        <w:rPr>
          <w:lang w:val="ru-RU"/>
        </w:rPr>
      </w:pPr>
      <w:r w:rsidRPr="00CC2BA3">
        <w:rPr>
          <w:rFonts w:ascii="Times New Roman" w:hAnsi="Times New Roman" w:cs="Times New Roman"/>
          <w:b/>
          <w:sz w:val="28"/>
          <w:szCs w:val="28"/>
        </w:rPr>
        <w:t xml:space="preserve">Відповідальний за випуск: 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Н. 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Зайченко</w:t>
      </w:r>
      <w:proofErr w:type="spellEnd"/>
    </w:p>
    <w:p w:rsidR="009923A6" w:rsidRDefault="009923A6"/>
    <w:sectPr w:rsidR="00992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2683"/>
    <w:multiLevelType w:val="hybridMultilevel"/>
    <w:tmpl w:val="36E2E67E"/>
    <w:lvl w:ilvl="0" w:tplc="F7B81A5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52"/>
    <w:rsid w:val="000D5151"/>
    <w:rsid w:val="00190D52"/>
    <w:rsid w:val="0027481D"/>
    <w:rsid w:val="009923A6"/>
    <w:rsid w:val="00F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6BD7"/>
  <w15:chartTrackingRefBased/>
  <w15:docId w15:val="{1BB5EAFE-E15E-42F6-BF6F-56B2B123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rmal,Звичайний 2"/>
    <w:basedOn w:val="a"/>
    <w:uiPriority w:val="1"/>
    <w:qFormat/>
    <w:rsid w:val="00190D52"/>
    <w:pPr>
      <w:spacing w:after="120" w:line="360" w:lineRule="auto"/>
      <w:ind w:firstLine="567"/>
      <w:jc w:val="both"/>
    </w:pPr>
    <w:rPr>
      <w:rFonts w:ascii="Times New Roman" w:eastAsiaTheme="minorEastAsia" w:hAnsi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27481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korrespondent.net/articles/4689219-dopomoha-pereselentsiam-komu-dodatkovo-dadut-maizhe-po-11-tys-hrn" TargetMode="External"/><Relationship Id="rId13" Type="http://schemas.openxmlformats.org/officeDocument/2006/relationships/hyperlink" Target="http://kyivchasprava.kneu.in.ua/index.php/kyivchasprava/article/view/4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ivchasprava.kneu.in.ua/index.php/kyivchasprava/article/view/411" TargetMode="External"/><Relationship Id="rId12" Type="http://schemas.openxmlformats.org/officeDocument/2006/relationships/hyperlink" Target="http://apdp.in.ua/v101/14.pdf" TargetMode="External"/><Relationship Id="rId17" Type="http://schemas.openxmlformats.org/officeDocument/2006/relationships/hyperlink" Target="https://ua.korrespondent.net/business/financial/4689106-v-ukraini-planuietsia-pidvyschennia-podatkiv-hetmantsev" TargetMode="External"/><Relationship Id="rId2" Type="http://schemas.openxmlformats.org/officeDocument/2006/relationships/styles" Target="styles.xml"/><Relationship Id="rId16" Type="http://schemas.openxmlformats.org/officeDocument/2006/relationships/hyperlink" Target="http://apdp.in.ua/v101/2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yivchasprava.kneu.in.ua/index.php/kyivchasprava/article/view/421" TargetMode="External"/><Relationship Id="rId11" Type="http://schemas.openxmlformats.org/officeDocument/2006/relationships/hyperlink" Target="https://zn.ua/ukr/UKRAINE/zaporizhzhja-sumi-ta-kijiv-jak-vijskovi-administratsiji-konfliktujut-iz-mistsevim-samovrjaduvannjam-ta-shcho-z-tsim-robiti.html" TargetMode="External"/><Relationship Id="rId5" Type="http://schemas.openxmlformats.org/officeDocument/2006/relationships/hyperlink" Target="http://kyivchasprava.kneu.in.ua/index.php/kyivchasprava/article/view/407" TargetMode="External"/><Relationship Id="rId15" Type="http://schemas.openxmlformats.org/officeDocument/2006/relationships/hyperlink" Target="https://ktpu.kpi.ua/wp-content/uploads/2024/03/Suchasni-problemy-upravlinnya-2023.pdf" TargetMode="External"/><Relationship Id="rId10" Type="http://schemas.openxmlformats.org/officeDocument/2006/relationships/hyperlink" Target="http://perspectives.pp.ua/index.php/nts/article/view/10871/109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usiness-inform.net/article/?year=2024&amp;abstract=2024_2_0_97_104" TargetMode="External"/><Relationship Id="rId14" Type="http://schemas.openxmlformats.org/officeDocument/2006/relationships/hyperlink" Target="http://www.golos.com.ua/article/37824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13910</Words>
  <Characters>7929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</dc:creator>
  <cp:keywords/>
  <dc:description/>
  <cp:lastModifiedBy>Віра</cp:lastModifiedBy>
  <cp:revision>1</cp:revision>
  <dcterms:created xsi:type="dcterms:W3CDTF">2024-05-31T07:15:00Z</dcterms:created>
  <dcterms:modified xsi:type="dcterms:W3CDTF">2024-05-31T07:36:00Z</dcterms:modified>
</cp:coreProperties>
</file>